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CB74E" w14:textId="746E3FCB" w:rsidR="00431DEF" w:rsidRPr="00EE0686" w:rsidRDefault="00431DEF" w:rsidP="00431DEF">
      <w:pPr>
        <w:spacing w:after="0" w:line="240" w:lineRule="auto"/>
        <w:jc w:val="center"/>
        <w:rPr>
          <w:b/>
          <w:sz w:val="56"/>
          <w:szCs w:val="56"/>
        </w:rPr>
      </w:pPr>
      <w:r w:rsidRPr="00EE0686">
        <w:rPr>
          <w:b/>
          <w:sz w:val="56"/>
          <w:szCs w:val="56"/>
        </w:rPr>
        <w:t>NYÍREGYHÁZI EGYETEM</w:t>
      </w:r>
    </w:p>
    <w:p w14:paraId="52A0E627" w14:textId="77777777" w:rsidR="00431DEF" w:rsidRDefault="00431DEF" w:rsidP="00431DEF">
      <w:pPr>
        <w:spacing w:after="0" w:line="240" w:lineRule="auto"/>
        <w:jc w:val="center"/>
        <w:rPr>
          <w:b/>
        </w:rPr>
      </w:pPr>
    </w:p>
    <w:p w14:paraId="01AA5691" w14:textId="77777777" w:rsidR="00431DEF" w:rsidRDefault="00431DEF" w:rsidP="00431DEF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0E706B71" wp14:editId="3922EF8D">
            <wp:extent cx="2217420" cy="2358037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ernyőkép 2025-04-24 1329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99" cy="2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9778" w14:textId="77777777" w:rsidR="00431DEF" w:rsidRDefault="00431DEF" w:rsidP="00431DEF">
      <w:pPr>
        <w:spacing w:after="0" w:line="240" w:lineRule="auto"/>
        <w:jc w:val="center"/>
        <w:rPr>
          <w:b/>
        </w:rPr>
      </w:pPr>
    </w:p>
    <w:p w14:paraId="4A0AC989" w14:textId="77777777" w:rsidR="00431DEF" w:rsidRDefault="00431DEF" w:rsidP="00431DEF">
      <w:pPr>
        <w:spacing w:after="0" w:line="240" w:lineRule="auto"/>
        <w:jc w:val="center"/>
        <w:rPr>
          <w:b/>
        </w:rPr>
      </w:pPr>
    </w:p>
    <w:p w14:paraId="1AE26437" w14:textId="77777777" w:rsidR="00431DEF" w:rsidRDefault="00431DEF" w:rsidP="00431DEF">
      <w:pPr>
        <w:jc w:val="center"/>
        <w:rPr>
          <w:b/>
          <w:sz w:val="56"/>
          <w:szCs w:val="56"/>
        </w:rPr>
      </w:pPr>
      <w:r w:rsidRPr="00EE0686">
        <w:rPr>
          <w:b/>
          <w:sz w:val="56"/>
          <w:szCs w:val="56"/>
        </w:rPr>
        <w:t>Minőségfejlesztési Terv</w:t>
      </w:r>
    </w:p>
    <w:p w14:paraId="7A2B447B" w14:textId="77777777" w:rsidR="00431DEF" w:rsidRDefault="00431DEF" w:rsidP="00431DEF">
      <w:pPr>
        <w:spacing w:after="0" w:line="240" w:lineRule="auto"/>
        <w:rPr>
          <w:b/>
        </w:rPr>
      </w:pPr>
    </w:p>
    <w:p w14:paraId="35CD163C" w14:textId="1662D74E" w:rsidR="00431DEF" w:rsidRPr="00720B7A" w:rsidRDefault="00431DEF" w:rsidP="00431DEF">
      <w:pPr>
        <w:spacing w:after="0" w:line="240" w:lineRule="auto"/>
        <w:rPr>
          <w:b/>
          <w:sz w:val="52"/>
          <w:szCs w:val="52"/>
        </w:rPr>
      </w:pPr>
    </w:p>
    <w:p w14:paraId="75B8B974" w14:textId="77777777" w:rsidR="00431DEF" w:rsidRDefault="00431DEF" w:rsidP="00431DEF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Értékesítés, Marketing, </w:t>
      </w:r>
      <w:r w:rsidRPr="00720B7A">
        <w:rPr>
          <w:b/>
          <w:sz w:val="52"/>
          <w:szCs w:val="52"/>
        </w:rPr>
        <w:t>Kommunikációs és PR Iroda</w:t>
      </w:r>
    </w:p>
    <w:p w14:paraId="54E91FA9" w14:textId="0C4CB497" w:rsidR="00431DEF" w:rsidRPr="00431DEF" w:rsidRDefault="00431DEF" w:rsidP="00431DEF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br/>
      </w:r>
      <w:r w:rsidRPr="00EE0686">
        <w:rPr>
          <w:b/>
          <w:sz w:val="44"/>
          <w:szCs w:val="44"/>
        </w:rPr>
        <w:t>2025</w:t>
      </w:r>
    </w:p>
    <w:p w14:paraId="0693EF84" w14:textId="77777777" w:rsidR="00431DEF" w:rsidRDefault="00431DEF"/>
    <w:tbl>
      <w:tblPr>
        <w:tblW w:w="111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410"/>
        <w:gridCol w:w="2552"/>
        <w:gridCol w:w="4678"/>
      </w:tblGrid>
      <w:tr w:rsidR="002F4C4C" w:rsidRPr="002F4C4C" w14:paraId="6B79DD19" w14:textId="77777777" w:rsidTr="0001307D">
        <w:trPr>
          <w:trHeight w:val="207"/>
          <w:jc w:val="center"/>
        </w:trPr>
        <w:tc>
          <w:tcPr>
            <w:tcW w:w="551" w:type="dxa"/>
          </w:tcPr>
          <w:p w14:paraId="75D4AB28" w14:textId="43E6C157" w:rsidR="002F4C4C" w:rsidRPr="002F4C4C" w:rsidRDefault="002F4C4C" w:rsidP="002F4C4C">
            <w:pPr>
              <w:rPr>
                <w:b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3ADBA400" w14:textId="77777777" w:rsidR="00640206" w:rsidRPr="0062244B" w:rsidRDefault="00640206" w:rsidP="00640206">
            <w:pPr>
              <w:spacing w:after="0" w:line="240" w:lineRule="auto"/>
              <w:rPr>
                <w:b/>
              </w:rPr>
            </w:pPr>
            <w:r w:rsidRPr="0062244B">
              <w:rPr>
                <w:b/>
              </w:rPr>
              <w:t>Értékesítés, Marketing és Kommunikációs és PR Iroda</w:t>
            </w:r>
          </w:p>
          <w:p w14:paraId="7AB71C9B" w14:textId="7F74B1F3" w:rsidR="002F4C4C" w:rsidRPr="002F4C4C" w:rsidRDefault="002F4C4C" w:rsidP="00640206">
            <w:pPr>
              <w:jc w:val="both"/>
              <w:rPr>
                <w:b/>
              </w:rPr>
            </w:pPr>
            <w:r w:rsidRPr="002F4C4C">
              <w:rPr>
                <w:b/>
              </w:rPr>
              <w:t>Minősé</w:t>
            </w:r>
            <w:r w:rsidR="00E611AB">
              <w:rPr>
                <w:b/>
              </w:rPr>
              <w:t>gfejlesztési Terv</w:t>
            </w:r>
            <w:r w:rsidRPr="002F4C4C">
              <w:rPr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5EFDBCAB" w14:textId="77777777" w:rsid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ESG</w:t>
            </w:r>
          </w:p>
          <w:p w14:paraId="5DD168E8" w14:textId="42EB7B15" w:rsidR="00E611AB" w:rsidRPr="002F4C4C" w:rsidRDefault="00E611AB" w:rsidP="002F4C4C">
            <w:pPr>
              <w:rPr>
                <w:b/>
              </w:rPr>
            </w:pPr>
            <w:r>
              <w:rPr>
                <w:b/>
              </w:rPr>
              <w:t>Stratégia</w:t>
            </w:r>
          </w:p>
        </w:tc>
        <w:tc>
          <w:tcPr>
            <w:tcW w:w="4678" w:type="dxa"/>
            <w:shd w:val="clear" w:color="auto" w:fill="FFFFFF" w:themeFill="background1"/>
          </w:tcPr>
          <w:p w14:paraId="45B27D33" w14:textId="77777777" w:rsidR="002F4C4C" w:rsidRP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Megjegyzés</w:t>
            </w:r>
          </w:p>
        </w:tc>
      </w:tr>
      <w:tr w:rsidR="002F4C4C" w:rsidRPr="002F4C4C" w14:paraId="4796B10D" w14:textId="77777777" w:rsidTr="0001307D">
        <w:trPr>
          <w:trHeight w:val="207"/>
          <w:jc w:val="center"/>
        </w:trPr>
        <w:tc>
          <w:tcPr>
            <w:tcW w:w="551" w:type="dxa"/>
          </w:tcPr>
          <w:p w14:paraId="3D24048A" w14:textId="77777777" w:rsidR="002F4C4C" w:rsidRP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1</w:t>
            </w:r>
          </w:p>
        </w:tc>
        <w:tc>
          <w:tcPr>
            <w:tcW w:w="3410" w:type="dxa"/>
            <w:shd w:val="clear" w:color="auto" w:fill="0F9ED5" w:themeFill="accent4"/>
          </w:tcPr>
          <w:p w14:paraId="29CEF0BC" w14:textId="6BA34211" w:rsidR="002F4C4C" w:rsidRP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1. A</w:t>
            </w:r>
            <w:r>
              <w:rPr>
                <w:b/>
              </w:rPr>
              <w:t xml:space="preserve">z </w:t>
            </w:r>
            <w:r w:rsidR="003823BB">
              <w:rPr>
                <w:b/>
              </w:rPr>
              <w:t>iroda</w:t>
            </w:r>
            <w:r>
              <w:rPr>
                <w:b/>
              </w:rPr>
              <w:t xml:space="preserve"> </w:t>
            </w:r>
            <w:r w:rsidRPr="002F4C4C">
              <w:rPr>
                <w:b/>
              </w:rPr>
              <w:t>általános helyzetképe</w:t>
            </w:r>
            <w:r w:rsidR="00BD664B">
              <w:rPr>
                <w:b/>
              </w:rPr>
              <w:t xml:space="preserve"> (infrastruktúra, oktatási körülmények</w:t>
            </w:r>
            <w:r w:rsidR="002B5ABD">
              <w:rPr>
                <w:b/>
              </w:rPr>
              <w:t>…</w:t>
            </w:r>
            <w:r w:rsidR="00BD664B">
              <w:rPr>
                <w:b/>
              </w:rPr>
              <w:t>)</w:t>
            </w:r>
          </w:p>
        </w:tc>
        <w:tc>
          <w:tcPr>
            <w:tcW w:w="2552" w:type="dxa"/>
            <w:shd w:val="clear" w:color="auto" w:fill="0F9ED5" w:themeFill="accent4"/>
          </w:tcPr>
          <w:p w14:paraId="17A7BE90" w14:textId="73DFAB2E" w:rsidR="002F4C4C" w:rsidRDefault="00E55D05" w:rsidP="002F4C4C">
            <w:r>
              <w:t xml:space="preserve">ESG1.3, </w:t>
            </w:r>
            <w:r w:rsidR="009F7156">
              <w:t>1.6, 1.9</w:t>
            </w:r>
          </w:p>
          <w:p w14:paraId="14F2A480" w14:textId="77777777" w:rsidR="00363F3C" w:rsidRDefault="00363F3C" w:rsidP="00363F3C">
            <w:pPr>
              <w:spacing w:after="0"/>
            </w:pPr>
            <w:r>
              <w:t xml:space="preserve">Stratégia: </w:t>
            </w:r>
          </w:p>
          <w:p w14:paraId="02F62488" w14:textId="5685C15A" w:rsidR="00363F3C" w:rsidRPr="002F4C4C" w:rsidRDefault="00363F3C" w:rsidP="00363F3C">
            <w:pPr>
              <w:spacing w:after="0"/>
            </w:pPr>
            <w:r>
              <w:t>2. pillér (Innovatív és interaktív tudásbázis és tudástranszfer)</w:t>
            </w:r>
          </w:p>
        </w:tc>
        <w:tc>
          <w:tcPr>
            <w:tcW w:w="4678" w:type="dxa"/>
            <w:shd w:val="clear" w:color="auto" w:fill="0F9ED5" w:themeFill="accent4"/>
          </w:tcPr>
          <w:p w14:paraId="40D4CD75" w14:textId="77777777" w:rsidR="002F4C4C" w:rsidRDefault="00640206" w:rsidP="009F7156">
            <w:r>
              <w:t>Az iroda az A tanulmányi épület 1. emeletén, 3 irodahelyiségben található.</w:t>
            </w:r>
          </w:p>
          <w:p w14:paraId="37E42CC7" w14:textId="22A826EB" w:rsidR="00640206" w:rsidRPr="002F4C4C" w:rsidRDefault="00640206" w:rsidP="009F7156">
            <w:r w:rsidRPr="00640206">
              <w:t>A Nyíregyházi Egyetem Értékesítés, Marketing, Kommunikáció és PR Irodája átfogó szolgáltatásokat nyújt a hallgatók</w:t>
            </w:r>
            <w:r>
              <w:t>, a leendő hallgatók és az egyetemi</w:t>
            </w:r>
            <w:r w:rsidRPr="00640206">
              <w:t xml:space="preserve"> közösség számára. Az iroda rendszeresen szervez állásbörzéket és karriernapokat, ahol a résztvevők közvetlen kapcsolatba léphetnek a régió munkaadóival, megismerhetik a munkaerő-piaci lehetőségeket, és karrier-tanácsadáson vehetnek részt. </w:t>
            </w:r>
            <w:r w:rsidR="003823BB">
              <w:t>F</w:t>
            </w:r>
            <w:r w:rsidRPr="00640206">
              <w:t>eladata továbbá az intézmény arculatának építése, a kommunikációs és marketing</w:t>
            </w:r>
            <w:r w:rsidR="003823BB">
              <w:t xml:space="preserve">-, és a felvételihez kapcsolódós </w:t>
            </w:r>
            <w:proofErr w:type="spellStart"/>
            <w:r w:rsidR="003823BB">
              <w:t>sales</w:t>
            </w:r>
            <w:proofErr w:type="spellEnd"/>
            <w:r w:rsidR="003823BB">
              <w:t xml:space="preserve"> </w:t>
            </w:r>
            <w:r w:rsidRPr="00640206">
              <w:t xml:space="preserve">tevékenységek koordinálása, valamint a tudományos eredmények bemutatása. </w:t>
            </w:r>
          </w:p>
        </w:tc>
      </w:tr>
      <w:tr w:rsidR="002F4C4C" w:rsidRPr="002F4C4C" w14:paraId="391C5E85" w14:textId="77777777" w:rsidTr="0001307D">
        <w:trPr>
          <w:trHeight w:val="207"/>
          <w:jc w:val="center"/>
        </w:trPr>
        <w:tc>
          <w:tcPr>
            <w:tcW w:w="551" w:type="dxa"/>
          </w:tcPr>
          <w:p w14:paraId="7B1319A2" w14:textId="77777777" w:rsidR="002F4C4C" w:rsidRP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2</w:t>
            </w:r>
          </w:p>
        </w:tc>
        <w:tc>
          <w:tcPr>
            <w:tcW w:w="3410" w:type="dxa"/>
            <w:shd w:val="clear" w:color="auto" w:fill="0F9ED5" w:themeFill="accent4"/>
          </w:tcPr>
          <w:p w14:paraId="26CB5ADB" w14:textId="7D76E007" w:rsidR="002F4C4C" w:rsidRPr="002F4C4C" w:rsidRDefault="002F4C4C" w:rsidP="002F4C4C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.</w:t>
            </w:r>
            <w:r w:rsidRPr="002F4C4C">
              <w:rPr>
                <w:b/>
              </w:rPr>
              <w:t xml:space="preserve"> Az </w:t>
            </w:r>
            <w:r w:rsidR="003823BB">
              <w:rPr>
                <w:b/>
              </w:rPr>
              <w:t>iroda</w:t>
            </w:r>
            <w:r w:rsidRPr="002F4C4C">
              <w:rPr>
                <w:b/>
              </w:rPr>
              <w:t xml:space="preserve"> személyi állománya</w:t>
            </w:r>
          </w:p>
        </w:tc>
        <w:tc>
          <w:tcPr>
            <w:tcW w:w="2552" w:type="dxa"/>
            <w:shd w:val="clear" w:color="auto" w:fill="0F9ED5" w:themeFill="accent4"/>
          </w:tcPr>
          <w:p w14:paraId="1890DC12" w14:textId="77777777" w:rsidR="002F4C4C" w:rsidRDefault="00546239" w:rsidP="002F4C4C">
            <w:r>
              <w:t>ESG1.5</w:t>
            </w:r>
          </w:p>
          <w:p w14:paraId="24FEE987" w14:textId="77777777" w:rsidR="00363F3C" w:rsidRDefault="00363F3C" w:rsidP="00363F3C">
            <w:pPr>
              <w:spacing w:after="0"/>
            </w:pPr>
            <w:r>
              <w:t xml:space="preserve">Stratégia: </w:t>
            </w:r>
          </w:p>
          <w:p w14:paraId="626958E6" w14:textId="544B6524" w:rsidR="00363F3C" w:rsidRPr="002F4C4C" w:rsidRDefault="00363F3C" w:rsidP="00363F3C">
            <w:r>
              <w:t>1. pillér (Hosszútávon önálló Nyíregyházi Egyetem)</w:t>
            </w:r>
          </w:p>
        </w:tc>
        <w:tc>
          <w:tcPr>
            <w:tcW w:w="4678" w:type="dxa"/>
            <w:shd w:val="clear" w:color="auto" w:fill="0F9ED5" w:themeFill="accent4"/>
          </w:tcPr>
          <w:p w14:paraId="7E846B7C" w14:textId="2DAA8308" w:rsidR="002F4C4C" w:rsidRPr="002F4C4C" w:rsidRDefault="003823BB" w:rsidP="00956F37">
            <w:r>
              <w:t>Az iroda személyi állománya: 1 fő vezető, 5 fő munkatárs. A személyi állomány 2025. január 1-jétől 6 fő teljes munkaidős, határozatlan idejű szerződéssel foglalkoztatott.</w:t>
            </w:r>
          </w:p>
        </w:tc>
      </w:tr>
      <w:tr w:rsidR="003823BB" w:rsidRPr="002F4C4C" w14:paraId="685BA0C1" w14:textId="77777777" w:rsidTr="0001307D">
        <w:trPr>
          <w:trHeight w:val="207"/>
          <w:jc w:val="center"/>
        </w:trPr>
        <w:tc>
          <w:tcPr>
            <w:tcW w:w="551" w:type="dxa"/>
          </w:tcPr>
          <w:p w14:paraId="1062F281" w14:textId="77777777" w:rsidR="003823BB" w:rsidRPr="002F4C4C" w:rsidRDefault="003823BB" w:rsidP="003823BB">
            <w:pPr>
              <w:rPr>
                <w:b/>
              </w:rPr>
            </w:pPr>
            <w:r w:rsidRPr="002F4C4C">
              <w:rPr>
                <w:b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C1E4F5" w:themeFill="accent1" w:themeFillTint="33"/>
          </w:tcPr>
          <w:p w14:paraId="3EFDFEB4" w14:textId="77777777" w:rsidR="003823BB" w:rsidRPr="002B5ABD" w:rsidRDefault="003823BB" w:rsidP="003823BB">
            <w:pPr>
              <w:rPr>
                <w:b/>
                <w:i/>
                <w:iCs/>
              </w:rPr>
            </w:pPr>
            <w:r w:rsidRPr="002B5ABD">
              <w:rPr>
                <w:b/>
                <w:i/>
                <w:iCs/>
              </w:rPr>
              <w:t>2.1 Dolgozói összetétel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31210FF1" w14:textId="77777777" w:rsidR="003823BB" w:rsidRPr="002F4C4C" w:rsidRDefault="003823BB" w:rsidP="003823BB"/>
        </w:tc>
        <w:tc>
          <w:tcPr>
            <w:tcW w:w="4678" w:type="dxa"/>
            <w:shd w:val="clear" w:color="auto" w:fill="C1E4F5" w:themeFill="accent1" w:themeFillTint="33"/>
          </w:tcPr>
          <w:p w14:paraId="5C6D4E24" w14:textId="09DA8B31" w:rsidR="003823BB" w:rsidRPr="002F4C4C" w:rsidRDefault="003823BB" w:rsidP="003823BB">
            <w:pPr>
              <w:spacing w:after="0"/>
            </w:pPr>
            <w:r>
              <w:t>Az iroda személyi állománya: 1 fő vezető, 5 fő munkatárs. A személyi állomány 2025. január 1-jétől 6 fő teljes munkaidős, határozatlan idejű szerződéssel foglalkoztatott.</w:t>
            </w:r>
          </w:p>
        </w:tc>
      </w:tr>
      <w:tr w:rsidR="003823BB" w:rsidRPr="002F4C4C" w14:paraId="4D58B1C8" w14:textId="77777777" w:rsidTr="0001307D">
        <w:trPr>
          <w:trHeight w:val="207"/>
          <w:jc w:val="center"/>
        </w:trPr>
        <w:tc>
          <w:tcPr>
            <w:tcW w:w="551" w:type="dxa"/>
          </w:tcPr>
          <w:p w14:paraId="1E32F89D" w14:textId="77777777" w:rsidR="003823BB" w:rsidRPr="002F4C4C" w:rsidRDefault="003823BB" w:rsidP="003823BB">
            <w:pPr>
              <w:rPr>
                <w:b/>
              </w:rPr>
            </w:pPr>
            <w:r w:rsidRPr="002F4C4C">
              <w:rPr>
                <w:b/>
              </w:rPr>
              <w:t>4</w:t>
            </w:r>
          </w:p>
        </w:tc>
        <w:tc>
          <w:tcPr>
            <w:tcW w:w="3410" w:type="dxa"/>
          </w:tcPr>
          <w:p w14:paraId="2478531D" w14:textId="45CC9030" w:rsidR="003823BB" w:rsidRPr="002F4C4C" w:rsidRDefault="003823BB" w:rsidP="003823BB">
            <w:r w:rsidRPr="002F4C4C">
              <w:t>1. táblázat: A</w:t>
            </w:r>
            <w:r>
              <w:t xml:space="preserve">z iroda </w:t>
            </w:r>
            <w:r w:rsidRPr="002F4C4C">
              <w:t>dolgozói összetétele beosztás és az intézményi kötődés</w:t>
            </w:r>
            <w:r>
              <w:t>,</w:t>
            </w:r>
            <w:r w:rsidRPr="002B5ABD">
              <w:t xml:space="preserve"> </w:t>
            </w:r>
            <w:r>
              <w:t xml:space="preserve">valamint </w:t>
            </w:r>
            <w:proofErr w:type="spellStart"/>
            <w:r w:rsidRPr="002B5ABD">
              <w:t>korfa</w:t>
            </w:r>
            <w:proofErr w:type="spellEnd"/>
            <w:r>
              <w:t xml:space="preserve"> </w:t>
            </w:r>
            <w:r w:rsidRPr="002F4C4C">
              <w:t>alapján</w:t>
            </w:r>
            <w:r>
              <w:t>.</w:t>
            </w:r>
          </w:p>
        </w:tc>
        <w:tc>
          <w:tcPr>
            <w:tcW w:w="2552" w:type="dxa"/>
          </w:tcPr>
          <w:p w14:paraId="37193C3A" w14:textId="77777777" w:rsidR="003823BB" w:rsidRPr="002F4C4C" w:rsidRDefault="003823BB" w:rsidP="003823BB"/>
        </w:tc>
        <w:tc>
          <w:tcPr>
            <w:tcW w:w="4678" w:type="dxa"/>
          </w:tcPr>
          <w:p w14:paraId="5E285BDA" w14:textId="553CD4E5" w:rsidR="003823BB" w:rsidRPr="002F4C4C" w:rsidRDefault="003823BB" w:rsidP="003823BB">
            <w:r>
              <w:t xml:space="preserve">1 fő vezető (férfi, 45 év) 2001-óta munkaállományban, 1 fő kommunikációs munkatárs (nő, 44 év) 0,5 éve állományban, 1 </w:t>
            </w:r>
            <w:proofErr w:type="spellStart"/>
            <w:r>
              <w:t>sales</w:t>
            </w:r>
            <w:proofErr w:type="spellEnd"/>
            <w:r>
              <w:t xml:space="preserve"> munkatárs (nő, 40 év) 0,5 éve állományban, 1 fő hallgatói koordinátor munkatárs (nő, 40) eddig megbízási szerződéssel, 1 fő fotós, </w:t>
            </w:r>
            <w:proofErr w:type="spellStart"/>
            <w:r>
              <w:t>komm</w:t>
            </w:r>
            <w:proofErr w:type="spellEnd"/>
            <w:r>
              <w:t>. munkatárs (férfi, 39 év)</w:t>
            </w:r>
            <w:r w:rsidR="004D5C06">
              <w:t xml:space="preserve"> 15 éve állományban</w:t>
            </w:r>
            <w:r>
              <w:t>, 1 fő munkatárs (férfi, 25 év)</w:t>
            </w:r>
            <w:r w:rsidR="004D5C06">
              <w:t xml:space="preserve"> 1 éve állományban</w:t>
            </w:r>
          </w:p>
        </w:tc>
      </w:tr>
      <w:tr w:rsidR="005A7C99" w:rsidRPr="002F4C4C" w14:paraId="259BCA72" w14:textId="77777777" w:rsidTr="0001307D">
        <w:trPr>
          <w:trHeight w:val="429"/>
          <w:jc w:val="center"/>
        </w:trPr>
        <w:tc>
          <w:tcPr>
            <w:tcW w:w="551" w:type="dxa"/>
          </w:tcPr>
          <w:p w14:paraId="5EA91B99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5</w:t>
            </w:r>
          </w:p>
        </w:tc>
        <w:tc>
          <w:tcPr>
            <w:tcW w:w="3410" w:type="dxa"/>
            <w:shd w:val="clear" w:color="auto" w:fill="C1E4F5" w:themeFill="accent1" w:themeFillTint="33"/>
          </w:tcPr>
          <w:p w14:paraId="19528847" w14:textId="34B02A05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 xml:space="preserve">2.2 </w:t>
            </w:r>
            <w:r w:rsidRPr="002B5ABD">
              <w:rPr>
                <w:b/>
                <w:i/>
                <w:iCs/>
              </w:rPr>
              <w:t xml:space="preserve">Az </w:t>
            </w:r>
            <w:r>
              <w:rPr>
                <w:b/>
                <w:i/>
                <w:iCs/>
              </w:rPr>
              <w:t>egység</w:t>
            </w:r>
            <w:r w:rsidRPr="002B5ABD">
              <w:rPr>
                <w:b/>
                <w:i/>
                <w:iCs/>
              </w:rPr>
              <w:t xml:space="preserve"> főállású és részfoglalkozású oktatói szervezeti egységenként, beosztás szerint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0E42C68A" w14:textId="77777777" w:rsidR="005A7C99" w:rsidRPr="002F4C4C" w:rsidRDefault="005A7C99" w:rsidP="005A7C99"/>
        </w:tc>
        <w:tc>
          <w:tcPr>
            <w:tcW w:w="4678" w:type="dxa"/>
            <w:shd w:val="clear" w:color="auto" w:fill="C1E4F5" w:themeFill="accent1" w:themeFillTint="33"/>
          </w:tcPr>
          <w:p w14:paraId="32C75F32" w14:textId="2674D04C" w:rsidR="005A7C99" w:rsidRPr="005A7C99" w:rsidRDefault="005A7C99" w:rsidP="005A7C99">
            <w:pPr>
              <w:rPr>
                <w:i/>
                <w:iCs/>
              </w:rPr>
            </w:pPr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C975935" w14:textId="77777777" w:rsidTr="0001307D">
        <w:trPr>
          <w:trHeight w:val="429"/>
          <w:jc w:val="center"/>
        </w:trPr>
        <w:tc>
          <w:tcPr>
            <w:tcW w:w="551" w:type="dxa"/>
          </w:tcPr>
          <w:p w14:paraId="64B2439D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6</w:t>
            </w:r>
          </w:p>
        </w:tc>
        <w:tc>
          <w:tcPr>
            <w:tcW w:w="3410" w:type="dxa"/>
          </w:tcPr>
          <w:p w14:paraId="0A430DD0" w14:textId="3554EFAC" w:rsidR="005A7C99" w:rsidRPr="002F4C4C" w:rsidRDefault="005A7C99" w:rsidP="005A7C99">
            <w:r w:rsidRPr="002F4C4C">
              <w:t xml:space="preserve">2. táblázat: Az Intézet </w:t>
            </w:r>
            <w:r>
              <w:t>f</w:t>
            </w:r>
            <w:r w:rsidRPr="002F4C4C">
              <w:t>ő- részmunkaidős –és megbízással foglalkoztatott oktatói szervezetiegységenként, beosztás szerint</w:t>
            </w:r>
          </w:p>
        </w:tc>
        <w:tc>
          <w:tcPr>
            <w:tcW w:w="2552" w:type="dxa"/>
          </w:tcPr>
          <w:p w14:paraId="497594F7" w14:textId="77777777" w:rsidR="005A7C99" w:rsidRPr="002F4C4C" w:rsidRDefault="005A7C99" w:rsidP="005A7C99"/>
        </w:tc>
        <w:tc>
          <w:tcPr>
            <w:tcW w:w="4678" w:type="dxa"/>
          </w:tcPr>
          <w:p w14:paraId="3EE0AE9B" w14:textId="16C79D22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3FE0A62" w14:textId="77777777" w:rsidTr="0001307D">
        <w:trPr>
          <w:trHeight w:val="207"/>
          <w:jc w:val="center"/>
        </w:trPr>
        <w:tc>
          <w:tcPr>
            <w:tcW w:w="551" w:type="dxa"/>
          </w:tcPr>
          <w:p w14:paraId="65462B7B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7</w:t>
            </w:r>
          </w:p>
        </w:tc>
        <w:tc>
          <w:tcPr>
            <w:tcW w:w="3410" w:type="dxa"/>
            <w:shd w:val="clear" w:color="auto" w:fill="C1E4F5" w:themeFill="accent1" w:themeFillTint="33"/>
          </w:tcPr>
          <w:p w14:paraId="4FFEF6BB" w14:textId="77777777" w:rsidR="005A7C99" w:rsidRPr="002B5ABD" w:rsidRDefault="005A7C99" w:rsidP="005A7C99">
            <w:pPr>
              <w:rPr>
                <w:b/>
                <w:i/>
                <w:iCs/>
              </w:rPr>
            </w:pPr>
            <w:r w:rsidRPr="002B5ABD">
              <w:rPr>
                <w:b/>
                <w:i/>
                <w:iCs/>
              </w:rPr>
              <w:t>2.3 Az oktatók minőségének biztosítása</w:t>
            </w:r>
          </w:p>
        </w:tc>
        <w:tc>
          <w:tcPr>
            <w:tcW w:w="2552" w:type="dxa"/>
            <w:shd w:val="clear" w:color="auto" w:fill="C1E4F5" w:themeFill="accent1" w:themeFillTint="33"/>
          </w:tcPr>
          <w:p w14:paraId="034C571A" w14:textId="77777777" w:rsidR="005A7C99" w:rsidRPr="002F4C4C" w:rsidRDefault="005A7C99" w:rsidP="005A7C99"/>
        </w:tc>
        <w:tc>
          <w:tcPr>
            <w:tcW w:w="4678" w:type="dxa"/>
            <w:shd w:val="clear" w:color="auto" w:fill="C1E4F5" w:themeFill="accent1" w:themeFillTint="33"/>
          </w:tcPr>
          <w:p w14:paraId="22B63AE4" w14:textId="37BF0A57" w:rsidR="005A7C99" w:rsidRPr="002F4C4C" w:rsidRDefault="005A7C99" w:rsidP="005A7C99">
            <w:pPr>
              <w:spacing w:after="0"/>
            </w:pPr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CD8CECF" w14:textId="77777777" w:rsidTr="0001307D">
        <w:trPr>
          <w:trHeight w:val="207"/>
          <w:jc w:val="center"/>
        </w:trPr>
        <w:tc>
          <w:tcPr>
            <w:tcW w:w="551" w:type="dxa"/>
          </w:tcPr>
          <w:p w14:paraId="03E11C02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lastRenderedPageBreak/>
              <w:t>8</w:t>
            </w:r>
          </w:p>
        </w:tc>
        <w:tc>
          <w:tcPr>
            <w:tcW w:w="3410" w:type="dxa"/>
          </w:tcPr>
          <w:p w14:paraId="6DFC3A5C" w14:textId="755530B3" w:rsidR="005A7C99" w:rsidRPr="002F4C4C" w:rsidRDefault="005A7C99" w:rsidP="005A7C99">
            <w:r w:rsidRPr="002F4C4C">
              <w:t>3. táblázat:</w:t>
            </w:r>
            <w:r>
              <w:t xml:space="preserve"> </w:t>
            </w:r>
            <w:r w:rsidRPr="002F4C4C">
              <w:t>Az Intézet fő- és részállású oktatói tudományos minősítés szerint</w:t>
            </w:r>
          </w:p>
        </w:tc>
        <w:tc>
          <w:tcPr>
            <w:tcW w:w="2552" w:type="dxa"/>
          </w:tcPr>
          <w:p w14:paraId="0057E020" w14:textId="77777777" w:rsidR="005A7C99" w:rsidRPr="002F4C4C" w:rsidRDefault="005A7C99" w:rsidP="005A7C99"/>
        </w:tc>
        <w:tc>
          <w:tcPr>
            <w:tcW w:w="4678" w:type="dxa"/>
          </w:tcPr>
          <w:p w14:paraId="463DD31D" w14:textId="183BF92E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794E5FEA" w14:textId="77777777" w:rsidTr="0001307D">
        <w:trPr>
          <w:trHeight w:val="207"/>
          <w:jc w:val="center"/>
        </w:trPr>
        <w:tc>
          <w:tcPr>
            <w:tcW w:w="551" w:type="dxa"/>
          </w:tcPr>
          <w:p w14:paraId="3482CA2B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9</w:t>
            </w:r>
          </w:p>
        </w:tc>
        <w:tc>
          <w:tcPr>
            <w:tcW w:w="3410" w:type="dxa"/>
          </w:tcPr>
          <w:p w14:paraId="1892ADD6" w14:textId="31EF3897" w:rsidR="005A7C99" w:rsidRPr="002F4C4C" w:rsidRDefault="005A7C99" w:rsidP="005A7C99">
            <w:r>
              <w:t>Tudományos-szakmai e</w:t>
            </w:r>
            <w:r w:rsidRPr="002F4C4C">
              <w:t>lő</w:t>
            </w:r>
            <w:r>
              <w:t>rehaladás</w:t>
            </w:r>
          </w:p>
        </w:tc>
        <w:tc>
          <w:tcPr>
            <w:tcW w:w="2552" w:type="dxa"/>
          </w:tcPr>
          <w:p w14:paraId="4E23B8E4" w14:textId="6401AD19" w:rsidR="005A7C99" w:rsidRPr="002F4C4C" w:rsidRDefault="005A7C99" w:rsidP="005A7C99">
            <w:pPr>
              <w:spacing w:after="0"/>
            </w:pPr>
          </w:p>
        </w:tc>
        <w:tc>
          <w:tcPr>
            <w:tcW w:w="4678" w:type="dxa"/>
          </w:tcPr>
          <w:p w14:paraId="4B78EDFA" w14:textId="4FEA244F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52BC8C59" w14:textId="77777777" w:rsidTr="0001307D">
        <w:trPr>
          <w:trHeight w:val="207"/>
          <w:jc w:val="center"/>
        </w:trPr>
        <w:tc>
          <w:tcPr>
            <w:tcW w:w="551" w:type="dxa"/>
          </w:tcPr>
          <w:p w14:paraId="180B4889" w14:textId="0608272A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410" w:type="dxa"/>
            <w:shd w:val="clear" w:color="auto" w:fill="FFFFFF" w:themeFill="background1"/>
          </w:tcPr>
          <w:p w14:paraId="03EA6665" w14:textId="77777777" w:rsidR="005A7C99" w:rsidRPr="009443C8" w:rsidRDefault="005A7C99" w:rsidP="005A7C99">
            <w:r w:rsidRPr="009443C8">
              <w:t>Az oktatói munka hallgatói véleményezése</w:t>
            </w:r>
          </w:p>
        </w:tc>
        <w:tc>
          <w:tcPr>
            <w:tcW w:w="2552" w:type="dxa"/>
            <w:shd w:val="clear" w:color="auto" w:fill="FFFFFF" w:themeFill="background1"/>
          </w:tcPr>
          <w:p w14:paraId="65DB66CC" w14:textId="77777777" w:rsidR="005A7C99" w:rsidRDefault="005A7C99" w:rsidP="005A7C99">
            <w:r>
              <w:t>ESG1.3</w:t>
            </w:r>
          </w:p>
          <w:p w14:paraId="5266F420" w14:textId="20D3659D" w:rsidR="005A7C99" w:rsidRPr="002F4C4C" w:rsidRDefault="005A7C99" w:rsidP="005A7C99">
            <w:r>
              <w:t>Stratégia: 1. pillér</w:t>
            </w:r>
          </w:p>
        </w:tc>
        <w:tc>
          <w:tcPr>
            <w:tcW w:w="4678" w:type="dxa"/>
            <w:shd w:val="clear" w:color="auto" w:fill="FFFFFF" w:themeFill="background1"/>
          </w:tcPr>
          <w:p w14:paraId="52B05BBF" w14:textId="00D322E7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CCC082A" w14:textId="77777777" w:rsidTr="0001307D">
        <w:trPr>
          <w:trHeight w:val="429"/>
          <w:jc w:val="center"/>
        </w:trPr>
        <w:tc>
          <w:tcPr>
            <w:tcW w:w="551" w:type="dxa"/>
          </w:tcPr>
          <w:p w14:paraId="266103A2" w14:textId="1E5952EF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10" w:type="dxa"/>
          </w:tcPr>
          <w:p w14:paraId="737C6FE2" w14:textId="76F46BCF" w:rsidR="005A7C99" w:rsidRPr="002B5ABD" w:rsidRDefault="005A7C99" w:rsidP="005A7C99">
            <w:r w:rsidRPr="002B5ABD">
              <w:t>Az OMHV kérdésekre adott válaszok szakokra vonatkozó értékelése a szakfelelősök által (2024/25. őszi félév)</w:t>
            </w:r>
          </w:p>
        </w:tc>
        <w:tc>
          <w:tcPr>
            <w:tcW w:w="2552" w:type="dxa"/>
          </w:tcPr>
          <w:p w14:paraId="3E9EDBC4" w14:textId="77777777" w:rsidR="005A7C99" w:rsidRDefault="005A7C99" w:rsidP="005A7C99">
            <w:r>
              <w:t>ESG1.3</w:t>
            </w:r>
          </w:p>
          <w:p w14:paraId="4D9C45CC" w14:textId="4775E046" w:rsidR="005A7C99" w:rsidRDefault="005A7C99" w:rsidP="005A7C99">
            <w:pPr>
              <w:spacing w:after="0"/>
            </w:pPr>
            <w:r>
              <w:t>Stratégia:2-3. pillér</w:t>
            </w:r>
          </w:p>
          <w:p w14:paraId="07DD216C" w14:textId="63D14AA0" w:rsidR="005A7C99" w:rsidRPr="002F4C4C" w:rsidRDefault="005A7C99" w:rsidP="005A7C99">
            <w:pPr>
              <w:spacing w:after="0"/>
            </w:pPr>
            <w:r>
              <w:t>3. pillér (Nyíregyháza és a régió üzleti, gazdasági, társadalmi fejlődésének támogatása)</w:t>
            </w:r>
          </w:p>
        </w:tc>
        <w:tc>
          <w:tcPr>
            <w:tcW w:w="4678" w:type="dxa"/>
          </w:tcPr>
          <w:p w14:paraId="4957EA80" w14:textId="11F956D6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3605B601" w14:textId="77777777" w:rsidTr="0001307D">
        <w:trPr>
          <w:trHeight w:val="429"/>
          <w:jc w:val="center"/>
        </w:trPr>
        <w:tc>
          <w:tcPr>
            <w:tcW w:w="551" w:type="dxa"/>
          </w:tcPr>
          <w:p w14:paraId="4A622107" w14:textId="025ECF3D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10" w:type="dxa"/>
          </w:tcPr>
          <w:p w14:paraId="784D516B" w14:textId="6E458F06" w:rsidR="005A7C99" w:rsidRPr="002B5ABD" w:rsidRDefault="005A7C99" w:rsidP="005A7C99">
            <w:r w:rsidRPr="002B5ABD">
              <w:t>Az OMHV kérdésekre adott válaszok szakokra vonatkozó értékelése a szakfelelősök által (2024/25. tavaszi félév)</w:t>
            </w:r>
          </w:p>
        </w:tc>
        <w:tc>
          <w:tcPr>
            <w:tcW w:w="2552" w:type="dxa"/>
          </w:tcPr>
          <w:p w14:paraId="049CB96C" w14:textId="77777777" w:rsidR="005A7C99" w:rsidRDefault="005A7C99" w:rsidP="005A7C99">
            <w:r>
              <w:t>ESG1.3</w:t>
            </w:r>
          </w:p>
          <w:p w14:paraId="49395B06" w14:textId="317568FF" w:rsidR="005A7C99" w:rsidRPr="002F4C4C" w:rsidRDefault="005A7C99" w:rsidP="005A7C99">
            <w:r>
              <w:t>Stratégia:2-3. pillér</w:t>
            </w:r>
          </w:p>
        </w:tc>
        <w:tc>
          <w:tcPr>
            <w:tcW w:w="4678" w:type="dxa"/>
          </w:tcPr>
          <w:p w14:paraId="3865D769" w14:textId="19045DFE" w:rsidR="005A7C99" w:rsidRPr="00614E4E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8A56108" w14:textId="77777777" w:rsidTr="0001307D">
        <w:trPr>
          <w:trHeight w:val="207"/>
          <w:jc w:val="center"/>
        </w:trPr>
        <w:tc>
          <w:tcPr>
            <w:tcW w:w="551" w:type="dxa"/>
          </w:tcPr>
          <w:p w14:paraId="14241C8F" w14:textId="729DBD91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410" w:type="dxa"/>
            <w:shd w:val="clear" w:color="auto" w:fill="0F9ED5" w:themeFill="accent4"/>
          </w:tcPr>
          <w:p w14:paraId="48684568" w14:textId="63453853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3. Az Intézet kulcsfontosságú eredményei</w:t>
            </w:r>
          </w:p>
        </w:tc>
        <w:tc>
          <w:tcPr>
            <w:tcW w:w="2552" w:type="dxa"/>
            <w:shd w:val="clear" w:color="auto" w:fill="0F9ED5" w:themeFill="accent4"/>
          </w:tcPr>
          <w:p w14:paraId="39925407" w14:textId="77777777" w:rsidR="005A7C99" w:rsidRDefault="005A7C99" w:rsidP="005A7C99">
            <w:r>
              <w:t>ESG1.7</w:t>
            </w:r>
          </w:p>
          <w:p w14:paraId="633B8E1B" w14:textId="28C53AD6" w:rsidR="005A7C99" w:rsidRPr="002F4C4C" w:rsidRDefault="005A7C99" w:rsidP="005A7C99">
            <w:r>
              <w:t>Stratégia: 1. pillér</w:t>
            </w:r>
          </w:p>
        </w:tc>
        <w:tc>
          <w:tcPr>
            <w:tcW w:w="4678" w:type="dxa"/>
            <w:shd w:val="clear" w:color="auto" w:fill="0F9ED5" w:themeFill="accent4"/>
          </w:tcPr>
          <w:p w14:paraId="7EC78E27" w14:textId="77777777" w:rsidR="005A7C99" w:rsidRPr="002F4C4C" w:rsidRDefault="005A7C99" w:rsidP="005A7C99"/>
        </w:tc>
      </w:tr>
      <w:tr w:rsidR="005A7C99" w:rsidRPr="002F4C4C" w14:paraId="6EA938F9" w14:textId="77777777" w:rsidTr="0001307D">
        <w:trPr>
          <w:trHeight w:val="207"/>
          <w:jc w:val="center"/>
        </w:trPr>
        <w:tc>
          <w:tcPr>
            <w:tcW w:w="551" w:type="dxa"/>
          </w:tcPr>
          <w:p w14:paraId="0B885B48" w14:textId="10784945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410" w:type="dxa"/>
            <w:shd w:val="clear" w:color="auto" w:fill="DAE9F7" w:themeFill="text2" w:themeFillTint="1A"/>
          </w:tcPr>
          <w:p w14:paraId="092297CD" w14:textId="62C908C1" w:rsidR="005A7C99" w:rsidRPr="00E611AB" w:rsidRDefault="005A7C99" w:rsidP="005A7C99">
            <w:pPr>
              <w:rPr>
                <w:b/>
                <w:i/>
                <w:iCs/>
                <w:highlight w:val="yellow"/>
              </w:rPr>
            </w:pPr>
            <w:r w:rsidRPr="00E611AB">
              <w:rPr>
                <w:b/>
                <w:i/>
                <w:iCs/>
                <w:highlight w:val="yellow"/>
              </w:rPr>
              <w:t xml:space="preserve">3.1. Oktatási eredmények értékelése </w:t>
            </w:r>
          </w:p>
        </w:tc>
        <w:tc>
          <w:tcPr>
            <w:tcW w:w="2552" w:type="dxa"/>
            <w:shd w:val="clear" w:color="auto" w:fill="DAE9F7" w:themeFill="text2" w:themeFillTint="1A"/>
          </w:tcPr>
          <w:p w14:paraId="0F264142" w14:textId="77777777" w:rsidR="005A7C99" w:rsidRPr="002F4C4C" w:rsidRDefault="005A7C99" w:rsidP="005A7C99"/>
        </w:tc>
        <w:tc>
          <w:tcPr>
            <w:tcW w:w="4678" w:type="dxa"/>
            <w:shd w:val="clear" w:color="auto" w:fill="DAE9F7" w:themeFill="text2" w:themeFillTint="1A"/>
          </w:tcPr>
          <w:p w14:paraId="49A233C7" w14:textId="4C7D857F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72181039" w14:textId="77777777" w:rsidTr="0001307D">
        <w:trPr>
          <w:trHeight w:val="207"/>
          <w:jc w:val="center"/>
        </w:trPr>
        <w:tc>
          <w:tcPr>
            <w:tcW w:w="551" w:type="dxa"/>
          </w:tcPr>
          <w:p w14:paraId="6CFBA6EF" w14:textId="7340C65C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410" w:type="dxa"/>
          </w:tcPr>
          <w:p w14:paraId="0D40100B" w14:textId="77777777" w:rsidR="005A7C99" w:rsidRPr="00E611AB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hallgatói létszám</w:t>
            </w:r>
          </w:p>
        </w:tc>
        <w:tc>
          <w:tcPr>
            <w:tcW w:w="2552" w:type="dxa"/>
          </w:tcPr>
          <w:p w14:paraId="6DB43B27" w14:textId="77777777" w:rsidR="005A7C99" w:rsidRPr="002F4C4C" w:rsidRDefault="005A7C99" w:rsidP="005A7C99"/>
        </w:tc>
        <w:tc>
          <w:tcPr>
            <w:tcW w:w="4678" w:type="dxa"/>
          </w:tcPr>
          <w:p w14:paraId="364E3A1C" w14:textId="0F1E38E0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59DC7B67" w14:textId="77777777" w:rsidTr="0001307D">
        <w:trPr>
          <w:trHeight w:val="207"/>
          <w:jc w:val="center"/>
        </w:trPr>
        <w:tc>
          <w:tcPr>
            <w:tcW w:w="551" w:type="dxa"/>
          </w:tcPr>
          <w:p w14:paraId="2033428F" w14:textId="16156BE8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lastRenderedPageBreak/>
              <w:t>1</w:t>
            </w:r>
            <w:r>
              <w:rPr>
                <w:b/>
              </w:rPr>
              <w:t>6</w:t>
            </w:r>
          </w:p>
        </w:tc>
        <w:tc>
          <w:tcPr>
            <w:tcW w:w="3410" w:type="dxa"/>
          </w:tcPr>
          <w:p w14:paraId="698D387F" w14:textId="77777777" w:rsidR="005A7C99" w:rsidRPr="00E611AB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képzési szint</w:t>
            </w:r>
          </w:p>
        </w:tc>
        <w:tc>
          <w:tcPr>
            <w:tcW w:w="2552" w:type="dxa"/>
          </w:tcPr>
          <w:p w14:paraId="69BD4417" w14:textId="77777777" w:rsidR="005A7C99" w:rsidRPr="002F4C4C" w:rsidRDefault="005A7C99" w:rsidP="005A7C99"/>
        </w:tc>
        <w:tc>
          <w:tcPr>
            <w:tcW w:w="4678" w:type="dxa"/>
          </w:tcPr>
          <w:p w14:paraId="1CEA0C09" w14:textId="493CEE52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642B1950" w14:textId="77777777" w:rsidTr="0001307D">
        <w:trPr>
          <w:trHeight w:val="207"/>
          <w:jc w:val="center"/>
        </w:trPr>
        <w:tc>
          <w:tcPr>
            <w:tcW w:w="551" w:type="dxa"/>
          </w:tcPr>
          <w:p w14:paraId="7A76F8DA" w14:textId="027C9156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3410" w:type="dxa"/>
          </w:tcPr>
          <w:p w14:paraId="4135CC9D" w14:textId="77777777" w:rsidR="005A7C99" w:rsidRPr="00E611AB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munkarend</w:t>
            </w:r>
          </w:p>
        </w:tc>
        <w:tc>
          <w:tcPr>
            <w:tcW w:w="2552" w:type="dxa"/>
          </w:tcPr>
          <w:p w14:paraId="47F781F8" w14:textId="77777777" w:rsidR="005A7C99" w:rsidRPr="002F4C4C" w:rsidRDefault="005A7C99" w:rsidP="005A7C99"/>
        </w:tc>
        <w:tc>
          <w:tcPr>
            <w:tcW w:w="4678" w:type="dxa"/>
          </w:tcPr>
          <w:p w14:paraId="7D41E640" w14:textId="3E4B702A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679151EB" w14:textId="77777777" w:rsidTr="0001307D">
        <w:trPr>
          <w:trHeight w:val="207"/>
          <w:jc w:val="center"/>
        </w:trPr>
        <w:tc>
          <w:tcPr>
            <w:tcW w:w="551" w:type="dxa"/>
          </w:tcPr>
          <w:p w14:paraId="6476F9D6" w14:textId="75298EEB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10" w:type="dxa"/>
          </w:tcPr>
          <w:p w14:paraId="435B7689" w14:textId="77777777" w:rsidR="005A7C99" w:rsidRPr="00E611AB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képzés finanszírozása</w:t>
            </w:r>
          </w:p>
        </w:tc>
        <w:tc>
          <w:tcPr>
            <w:tcW w:w="2552" w:type="dxa"/>
          </w:tcPr>
          <w:p w14:paraId="26DF3FE9" w14:textId="77777777" w:rsidR="005A7C99" w:rsidRPr="002F4C4C" w:rsidRDefault="005A7C99" w:rsidP="005A7C99"/>
        </w:tc>
        <w:tc>
          <w:tcPr>
            <w:tcW w:w="4678" w:type="dxa"/>
          </w:tcPr>
          <w:p w14:paraId="5DA394D3" w14:textId="2FCBFD35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65203CE5" w14:textId="77777777" w:rsidTr="0001307D">
        <w:trPr>
          <w:trHeight w:val="207"/>
          <w:jc w:val="center"/>
        </w:trPr>
        <w:tc>
          <w:tcPr>
            <w:tcW w:w="551" w:type="dxa"/>
          </w:tcPr>
          <w:p w14:paraId="4D009A75" w14:textId="259142E0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10" w:type="dxa"/>
          </w:tcPr>
          <w:p w14:paraId="2B325E89" w14:textId="77777777" w:rsidR="005A7C99" w:rsidRPr="00E611AB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lemorzsolódott hallgatók száma</w:t>
            </w:r>
          </w:p>
        </w:tc>
        <w:tc>
          <w:tcPr>
            <w:tcW w:w="2552" w:type="dxa"/>
          </w:tcPr>
          <w:p w14:paraId="4661740D" w14:textId="77777777" w:rsidR="005A7C99" w:rsidRPr="002F4C4C" w:rsidRDefault="005A7C99" w:rsidP="005A7C99"/>
        </w:tc>
        <w:tc>
          <w:tcPr>
            <w:tcW w:w="4678" w:type="dxa"/>
          </w:tcPr>
          <w:p w14:paraId="23ADFF1A" w14:textId="424128C9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33D97812" w14:textId="77777777" w:rsidTr="0001307D">
        <w:trPr>
          <w:trHeight w:val="207"/>
          <w:jc w:val="center"/>
        </w:trPr>
        <w:tc>
          <w:tcPr>
            <w:tcW w:w="551" w:type="dxa"/>
          </w:tcPr>
          <w:p w14:paraId="1C98CE32" w14:textId="021207B8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3410" w:type="dxa"/>
          </w:tcPr>
          <w:p w14:paraId="624C73F8" w14:textId="77777777" w:rsidR="005A7C99" w:rsidRDefault="005A7C99" w:rsidP="005A7C99">
            <w:pPr>
              <w:rPr>
                <w:highlight w:val="yellow"/>
              </w:rPr>
            </w:pPr>
            <w:r w:rsidRPr="00E611AB">
              <w:rPr>
                <w:highlight w:val="yellow"/>
              </w:rPr>
              <w:t>tanulmányok lezárásának értékelése</w:t>
            </w:r>
          </w:p>
          <w:p w14:paraId="2D2B040B" w14:textId="2AA23863" w:rsidR="005A7C99" w:rsidRPr="00E611AB" w:rsidRDefault="005A7C99" w:rsidP="005A7C99">
            <w:pPr>
              <w:rPr>
                <w:highlight w:val="yellow"/>
              </w:rPr>
            </w:pPr>
            <w:r w:rsidRPr="006A20E7">
              <w:t>Végzős hallgatói állomány (2024/20225. tanév)</w:t>
            </w:r>
          </w:p>
        </w:tc>
        <w:tc>
          <w:tcPr>
            <w:tcW w:w="2552" w:type="dxa"/>
          </w:tcPr>
          <w:p w14:paraId="6646F675" w14:textId="77777777" w:rsidR="005A7C99" w:rsidRPr="002F4C4C" w:rsidRDefault="005A7C99" w:rsidP="005A7C99"/>
        </w:tc>
        <w:tc>
          <w:tcPr>
            <w:tcW w:w="4678" w:type="dxa"/>
          </w:tcPr>
          <w:p w14:paraId="4B69C5E3" w14:textId="210E18F4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725DC46" w14:textId="77777777" w:rsidTr="0001307D">
        <w:trPr>
          <w:trHeight w:val="207"/>
          <w:jc w:val="center"/>
        </w:trPr>
        <w:tc>
          <w:tcPr>
            <w:tcW w:w="551" w:type="dxa"/>
          </w:tcPr>
          <w:p w14:paraId="38E025E1" w14:textId="2F119090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410" w:type="dxa"/>
            <w:shd w:val="clear" w:color="auto" w:fill="DAE9F7" w:themeFill="text2" w:themeFillTint="1A"/>
          </w:tcPr>
          <w:p w14:paraId="0A19EC54" w14:textId="06492919" w:rsidR="005A7C99" w:rsidRPr="0023708B" w:rsidRDefault="005A7C99" w:rsidP="005A7C99">
            <w:pPr>
              <w:rPr>
                <w:b/>
                <w:bCs/>
              </w:rPr>
            </w:pPr>
            <w:r w:rsidRPr="0023708B">
              <w:rPr>
                <w:b/>
                <w:bCs/>
              </w:rPr>
              <w:t xml:space="preserve">3.2 </w:t>
            </w:r>
            <w:proofErr w:type="spellStart"/>
            <w:r w:rsidRPr="0023708B">
              <w:rPr>
                <w:b/>
                <w:bCs/>
              </w:rPr>
              <w:t>Nemzetköziesítés</w:t>
            </w:r>
            <w:proofErr w:type="spellEnd"/>
          </w:p>
        </w:tc>
        <w:tc>
          <w:tcPr>
            <w:tcW w:w="2552" w:type="dxa"/>
            <w:shd w:val="clear" w:color="auto" w:fill="DAE9F7" w:themeFill="text2" w:themeFillTint="1A"/>
          </w:tcPr>
          <w:p w14:paraId="5640B553" w14:textId="77777777" w:rsidR="005A7C99" w:rsidRDefault="005A7C99" w:rsidP="005A7C99">
            <w:r>
              <w:t>ESG1.2, ESG1.7</w:t>
            </w:r>
          </w:p>
          <w:p w14:paraId="1F8BFFD9" w14:textId="40E43499" w:rsidR="005A7C99" w:rsidRPr="002F4C4C" w:rsidRDefault="005A7C99" w:rsidP="005A7C99">
            <w:r>
              <w:t>Stratégia: 1. pillér</w:t>
            </w:r>
          </w:p>
        </w:tc>
        <w:tc>
          <w:tcPr>
            <w:tcW w:w="4678" w:type="dxa"/>
            <w:shd w:val="clear" w:color="auto" w:fill="DAE9F7" w:themeFill="text2" w:themeFillTint="1A"/>
          </w:tcPr>
          <w:p w14:paraId="58E2FD8C" w14:textId="50301708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24AA119" w14:textId="77777777" w:rsidTr="0001307D">
        <w:trPr>
          <w:trHeight w:val="429"/>
          <w:jc w:val="center"/>
        </w:trPr>
        <w:tc>
          <w:tcPr>
            <w:tcW w:w="551" w:type="dxa"/>
          </w:tcPr>
          <w:p w14:paraId="02BDF0AC" w14:textId="7C904489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3410" w:type="dxa"/>
          </w:tcPr>
          <w:p w14:paraId="4BC6A311" w14:textId="55A5BA6B" w:rsidR="005A7C99" w:rsidRPr="002F4C4C" w:rsidRDefault="005A7C99" w:rsidP="005A7C99">
            <w:r w:rsidRPr="002F4C4C">
              <w:t>Az önköltséges formában tanuló külföldi hallgatók száma (20</w:t>
            </w:r>
            <w:r>
              <w:t>24</w:t>
            </w:r>
            <w:r w:rsidRPr="002F4C4C">
              <w:t>/202</w:t>
            </w:r>
            <w:r>
              <w:t>5</w:t>
            </w:r>
            <w:r w:rsidRPr="002F4C4C">
              <w:t>. tanév őszi</w:t>
            </w:r>
            <w:r>
              <w:t>, tavaszi</w:t>
            </w:r>
          </w:p>
          <w:p w14:paraId="1E6A9FF1" w14:textId="77777777" w:rsidR="005A7C99" w:rsidRPr="002F4C4C" w:rsidRDefault="005A7C99" w:rsidP="005A7C99">
            <w:r w:rsidRPr="002F4C4C">
              <w:t>félév)</w:t>
            </w:r>
          </w:p>
        </w:tc>
        <w:tc>
          <w:tcPr>
            <w:tcW w:w="2552" w:type="dxa"/>
          </w:tcPr>
          <w:p w14:paraId="7B86A615" w14:textId="77777777" w:rsidR="005A7C99" w:rsidRPr="002F4C4C" w:rsidRDefault="005A7C99" w:rsidP="005A7C99"/>
        </w:tc>
        <w:tc>
          <w:tcPr>
            <w:tcW w:w="4678" w:type="dxa"/>
          </w:tcPr>
          <w:p w14:paraId="779E630B" w14:textId="6E060DE5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EF43F99" w14:textId="77777777" w:rsidTr="0001307D">
        <w:trPr>
          <w:trHeight w:val="207"/>
          <w:jc w:val="center"/>
        </w:trPr>
        <w:tc>
          <w:tcPr>
            <w:tcW w:w="551" w:type="dxa"/>
          </w:tcPr>
          <w:p w14:paraId="5412F88C" w14:textId="0F934EF1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3410" w:type="dxa"/>
          </w:tcPr>
          <w:p w14:paraId="76D60319" w14:textId="7DF3448A" w:rsidR="005A7C99" w:rsidRPr="002F4C4C" w:rsidRDefault="005A7C99" w:rsidP="005A7C99">
            <w:r w:rsidRPr="002F4C4C">
              <w:t>idegen nyelv</w:t>
            </w:r>
            <w:r>
              <w:t>ű</w:t>
            </w:r>
            <w:r w:rsidRPr="002F4C4C">
              <w:t xml:space="preserve"> kurzusok</w:t>
            </w:r>
          </w:p>
        </w:tc>
        <w:tc>
          <w:tcPr>
            <w:tcW w:w="2552" w:type="dxa"/>
          </w:tcPr>
          <w:p w14:paraId="0B41DA09" w14:textId="77777777" w:rsidR="005A7C99" w:rsidRPr="002F4C4C" w:rsidRDefault="005A7C99" w:rsidP="005A7C99"/>
        </w:tc>
        <w:tc>
          <w:tcPr>
            <w:tcW w:w="4678" w:type="dxa"/>
          </w:tcPr>
          <w:p w14:paraId="785639CC" w14:textId="30DE8D39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11BCEB5" w14:textId="77777777" w:rsidTr="0001307D">
        <w:trPr>
          <w:trHeight w:val="207"/>
          <w:jc w:val="center"/>
        </w:trPr>
        <w:tc>
          <w:tcPr>
            <w:tcW w:w="551" w:type="dxa"/>
          </w:tcPr>
          <w:p w14:paraId="1B38870F" w14:textId="3CCF248D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3410" w:type="dxa"/>
          </w:tcPr>
          <w:p w14:paraId="62A1FFF2" w14:textId="51690571" w:rsidR="005A7C99" w:rsidRPr="002F4C4C" w:rsidRDefault="005A7C99" w:rsidP="005A7C99">
            <w:r w:rsidRPr="002F4C4C">
              <w:t>kiutazó egyetemi hallgatók</w:t>
            </w:r>
          </w:p>
        </w:tc>
        <w:tc>
          <w:tcPr>
            <w:tcW w:w="2552" w:type="dxa"/>
          </w:tcPr>
          <w:p w14:paraId="7BE4DB46" w14:textId="77777777" w:rsidR="005A7C99" w:rsidRPr="002F4C4C" w:rsidRDefault="005A7C99" w:rsidP="005A7C99"/>
        </w:tc>
        <w:tc>
          <w:tcPr>
            <w:tcW w:w="4678" w:type="dxa"/>
          </w:tcPr>
          <w:p w14:paraId="15BD1002" w14:textId="5FD84337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EA314E9" w14:textId="77777777" w:rsidTr="0001307D">
        <w:trPr>
          <w:trHeight w:val="207"/>
          <w:jc w:val="center"/>
        </w:trPr>
        <w:tc>
          <w:tcPr>
            <w:tcW w:w="551" w:type="dxa"/>
          </w:tcPr>
          <w:p w14:paraId="72D5AF25" w14:textId="1C748C69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10" w:type="dxa"/>
            <w:shd w:val="clear" w:color="auto" w:fill="C5D9F0"/>
          </w:tcPr>
          <w:p w14:paraId="0AAD23E4" w14:textId="0545D914" w:rsidR="005A7C99" w:rsidRPr="0023708B" w:rsidRDefault="005A7C99" w:rsidP="005A7C99">
            <w:pPr>
              <w:rPr>
                <w:b/>
                <w:bCs/>
                <w:i/>
                <w:iCs/>
              </w:rPr>
            </w:pPr>
            <w:r w:rsidRPr="0023708B">
              <w:rPr>
                <w:b/>
                <w:bCs/>
                <w:i/>
                <w:iCs/>
              </w:rPr>
              <w:t>3.3 Tehetséggondozás-felzárkóztatás</w:t>
            </w:r>
          </w:p>
        </w:tc>
        <w:tc>
          <w:tcPr>
            <w:tcW w:w="2552" w:type="dxa"/>
            <w:shd w:val="clear" w:color="auto" w:fill="C5D9F0"/>
          </w:tcPr>
          <w:p w14:paraId="1DF5640E" w14:textId="75B7FC5F" w:rsidR="005A7C99" w:rsidRDefault="005A7C99" w:rsidP="005A7C99">
            <w:r>
              <w:t>ESG1.3, 1.6</w:t>
            </w:r>
          </w:p>
          <w:p w14:paraId="2F46A8A3" w14:textId="7F5C28D2" w:rsidR="005A7C99" w:rsidRPr="002F4C4C" w:rsidRDefault="005A7C99" w:rsidP="005A7C99">
            <w:r>
              <w:t>Stratégia: 3. pillér</w:t>
            </w:r>
          </w:p>
        </w:tc>
        <w:tc>
          <w:tcPr>
            <w:tcW w:w="4678" w:type="dxa"/>
            <w:shd w:val="clear" w:color="auto" w:fill="C5D9F0"/>
          </w:tcPr>
          <w:p w14:paraId="44C041A4" w14:textId="75F8F451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0B8CC6A" w14:textId="77777777" w:rsidTr="0001307D">
        <w:trPr>
          <w:trHeight w:val="429"/>
          <w:jc w:val="center"/>
        </w:trPr>
        <w:tc>
          <w:tcPr>
            <w:tcW w:w="551" w:type="dxa"/>
          </w:tcPr>
          <w:p w14:paraId="7165EA6F" w14:textId="155FADF4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3410" w:type="dxa"/>
          </w:tcPr>
          <w:p w14:paraId="376CE427" w14:textId="1CBFC280" w:rsidR="005A7C99" w:rsidRPr="002F4C4C" w:rsidRDefault="005A7C99" w:rsidP="005A7C99">
            <w:r w:rsidRPr="002F4C4C">
              <w:t xml:space="preserve"> A tudományos Diákköri tevékenység számszerű eredményei (Intézményi TDK,</w:t>
            </w:r>
            <w:r>
              <w:t xml:space="preserve"> </w:t>
            </w:r>
            <w:r w:rsidRPr="002F4C4C">
              <w:t>20</w:t>
            </w:r>
            <w:r>
              <w:t>24/25</w:t>
            </w:r>
            <w:r w:rsidRPr="002F4C4C">
              <w:t>. ősz</w:t>
            </w:r>
            <w:r>
              <w:t>i félév</w:t>
            </w:r>
            <w:r w:rsidRPr="002F4C4C">
              <w:t>)</w:t>
            </w:r>
            <w:r>
              <w:t xml:space="preserve"> </w:t>
            </w:r>
            <w:r w:rsidRPr="0023708B">
              <w:t xml:space="preserve">OTDK </w:t>
            </w:r>
            <w:r>
              <w:t>eredmények</w:t>
            </w:r>
          </w:p>
        </w:tc>
        <w:tc>
          <w:tcPr>
            <w:tcW w:w="2552" w:type="dxa"/>
          </w:tcPr>
          <w:p w14:paraId="677984A8" w14:textId="77777777" w:rsidR="005A7C99" w:rsidRPr="002F4C4C" w:rsidRDefault="005A7C99" w:rsidP="005A7C99"/>
        </w:tc>
        <w:tc>
          <w:tcPr>
            <w:tcW w:w="4678" w:type="dxa"/>
          </w:tcPr>
          <w:p w14:paraId="3BE30EBA" w14:textId="0DDD6692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28B39353" w14:textId="77777777" w:rsidTr="0001307D">
        <w:trPr>
          <w:trHeight w:val="429"/>
          <w:jc w:val="center"/>
        </w:trPr>
        <w:tc>
          <w:tcPr>
            <w:tcW w:w="551" w:type="dxa"/>
          </w:tcPr>
          <w:p w14:paraId="1C86C5FE" w14:textId="5F38498F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10" w:type="dxa"/>
          </w:tcPr>
          <w:p w14:paraId="6771C88A" w14:textId="69727755" w:rsidR="005A7C99" w:rsidRPr="002F4C4C" w:rsidRDefault="005A7C99" w:rsidP="005A7C99">
            <w:r w:rsidRPr="002F4C4C">
              <w:t>A tudományos Diákköri tevékenység számszerű eredményei (Intézményi TDK,</w:t>
            </w:r>
            <w:r>
              <w:t xml:space="preserve"> </w:t>
            </w:r>
            <w:r w:rsidRPr="002F4C4C">
              <w:t>202</w:t>
            </w:r>
            <w:r>
              <w:t>4/25.</w:t>
            </w:r>
            <w:r w:rsidRPr="002F4C4C">
              <w:t xml:space="preserve"> tavasz</w:t>
            </w:r>
            <w:r>
              <w:t xml:space="preserve">i félév) </w:t>
            </w:r>
            <w:r w:rsidRPr="0023708B">
              <w:t>OTDK</w:t>
            </w:r>
            <w:r>
              <w:t xml:space="preserve"> eredmények</w:t>
            </w:r>
          </w:p>
        </w:tc>
        <w:tc>
          <w:tcPr>
            <w:tcW w:w="2552" w:type="dxa"/>
          </w:tcPr>
          <w:p w14:paraId="13273BAA" w14:textId="77777777" w:rsidR="005A7C99" w:rsidRPr="002F4C4C" w:rsidRDefault="005A7C99" w:rsidP="005A7C99"/>
        </w:tc>
        <w:tc>
          <w:tcPr>
            <w:tcW w:w="4678" w:type="dxa"/>
          </w:tcPr>
          <w:p w14:paraId="6328A0F4" w14:textId="503865DC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27AEC9DD" w14:textId="77777777" w:rsidTr="0001307D">
        <w:trPr>
          <w:trHeight w:val="429"/>
          <w:jc w:val="center"/>
        </w:trPr>
        <w:tc>
          <w:tcPr>
            <w:tcW w:w="551" w:type="dxa"/>
          </w:tcPr>
          <w:p w14:paraId="6A15DC75" w14:textId="662E3710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10" w:type="dxa"/>
          </w:tcPr>
          <w:p w14:paraId="63B7627F" w14:textId="3FC97796" w:rsidR="005A7C99" w:rsidRPr="004D3AD5" w:rsidRDefault="005A7C99" w:rsidP="005A7C99">
            <w:r w:rsidRPr="0023708B">
              <w:rPr>
                <w:color w:val="000000" w:themeColor="text1"/>
              </w:rPr>
              <w:t>Tanulástámogató feltételek és hallgatói szolgáltatások</w:t>
            </w:r>
          </w:p>
        </w:tc>
        <w:tc>
          <w:tcPr>
            <w:tcW w:w="2552" w:type="dxa"/>
          </w:tcPr>
          <w:p w14:paraId="0D4A94DB" w14:textId="77777777" w:rsidR="005A7C99" w:rsidRPr="002F4C4C" w:rsidRDefault="005A7C99" w:rsidP="005A7C99"/>
        </w:tc>
        <w:tc>
          <w:tcPr>
            <w:tcW w:w="4678" w:type="dxa"/>
          </w:tcPr>
          <w:p w14:paraId="013D4C8F" w14:textId="725B261D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F0253D7" w14:textId="77777777" w:rsidTr="0001307D">
        <w:trPr>
          <w:trHeight w:val="207"/>
          <w:jc w:val="center"/>
        </w:trPr>
        <w:tc>
          <w:tcPr>
            <w:tcW w:w="551" w:type="dxa"/>
          </w:tcPr>
          <w:p w14:paraId="0C279319" w14:textId="4B493F5F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10" w:type="dxa"/>
          </w:tcPr>
          <w:p w14:paraId="6542E58B" w14:textId="3BD1CBFB" w:rsidR="005A7C99" w:rsidRPr="002F4C4C" w:rsidRDefault="005A7C99" w:rsidP="005A7C99">
            <w:r w:rsidRPr="0023708B">
              <w:t>Felzárkóztató kurzusok</w:t>
            </w:r>
            <w:r>
              <w:t>/ konzultációk</w:t>
            </w:r>
          </w:p>
        </w:tc>
        <w:tc>
          <w:tcPr>
            <w:tcW w:w="2552" w:type="dxa"/>
          </w:tcPr>
          <w:p w14:paraId="526CFFEE" w14:textId="77777777" w:rsidR="005A7C99" w:rsidRPr="002F4C4C" w:rsidRDefault="005A7C99" w:rsidP="005A7C99"/>
        </w:tc>
        <w:tc>
          <w:tcPr>
            <w:tcW w:w="4678" w:type="dxa"/>
          </w:tcPr>
          <w:p w14:paraId="3AA31FA8" w14:textId="1590B911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326CDF03" w14:textId="77777777" w:rsidTr="0001307D">
        <w:trPr>
          <w:trHeight w:val="468"/>
          <w:jc w:val="center"/>
        </w:trPr>
        <w:tc>
          <w:tcPr>
            <w:tcW w:w="551" w:type="dxa"/>
          </w:tcPr>
          <w:p w14:paraId="3757107C" w14:textId="398FCEBC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3410" w:type="dxa"/>
            <w:shd w:val="clear" w:color="auto" w:fill="C5D9F0"/>
          </w:tcPr>
          <w:p w14:paraId="2220336D" w14:textId="3A2E946B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2F4C4C">
              <w:rPr>
                <w:b/>
              </w:rPr>
              <w:t>. Kutatás-fejlesztés, alkotó tevékenység</w:t>
            </w:r>
          </w:p>
        </w:tc>
        <w:tc>
          <w:tcPr>
            <w:tcW w:w="2552" w:type="dxa"/>
            <w:shd w:val="clear" w:color="auto" w:fill="C5D9F0"/>
          </w:tcPr>
          <w:p w14:paraId="4F621DD8" w14:textId="77777777" w:rsidR="005A7C99" w:rsidRDefault="005A7C99" w:rsidP="005A7C99">
            <w:r>
              <w:t>ESG1.5, 1.2</w:t>
            </w:r>
          </w:p>
          <w:p w14:paraId="48618FEC" w14:textId="756DCD7F" w:rsidR="005A7C99" w:rsidRPr="002F4C4C" w:rsidRDefault="005A7C99" w:rsidP="005A7C99">
            <w:r>
              <w:t>Stratégia: 2. pillér</w:t>
            </w:r>
          </w:p>
        </w:tc>
        <w:tc>
          <w:tcPr>
            <w:tcW w:w="4678" w:type="dxa"/>
            <w:shd w:val="clear" w:color="auto" w:fill="C5D9F0"/>
          </w:tcPr>
          <w:p w14:paraId="61DB3AD5" w14:textId="604D8971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7FF91D6" w14:textId="77777777" w:rsidTr="0001307D">
        <w:trPr>
          <w:trHeight w:val="207"/>
          <w:jc w:val="center"/>
        </w:trPr>
        <w:tc>
          <w:tcPr>
            <w:tcW w:w="551" w:type="dxa"/>
          </w:tcPr>
          <w:p w14:paraId="73D2FA8D" w14:textId="1445D752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10" w:type="dxa"/>
          </w:tcPr>
          <w:p w14:paraId="7FE2DF44" w14:textId="6F3D1F27" w:rsidR="005A7C99" w:rsidRDefault="005A7C99" w:rsidP="005A7C99">
            <w:r>
              <w:t>Az Intézet tudományos-szakmai tevékenysége</w:t>
            </w:r>
          </w:p>
        </w:tc>
        <w:tc>
          <w:tcPr>
            <w:tcW w:w="2552" w:type="dxa"/>
          </w:tcPr>
          <w:p w14:paraId="01D66489" w14:textId="77777777" w:rsidR="005A7C99" w:rsidRDefault="005A7C99" w:rsidP="005A7C99">
            <w:r>
              <w:t>ESG1.5, ESG1.9</w:t>
            </w:r>
          </w:p>
          <w:p w14:paraId="18DB9132" w14:textId="77777777" w:rsidR="005A7C99" w:rsidRDefault="005A7C99" w:rsidP="005A7C99">
            <w:pPr>
              <w:spacing w:after="0"/>
            </w:pPr>
            <w:r>
              <w:t>Stratégia:</w:t>
            </w:r>
          </w:p>
          <w:p w14:paraId="3A5DF233" w14:textId="24A9B75F" w:rsidR="005A7C99" w:rsidRDefault="005A7C99" w:rsidP="005A7C99">
            <w:pPr>
              <w:spacing w:after="0"/>
            </w:pPr>
            <w:r>
              <w:t>2. pillér (Kutatási együttműködések fejlesztése rész) és</w:t>
            </w:r>
          </w:p>
          <w:p w14:paraId="3D9C3135" w14:textId="603E0171" w:rsidR="005A7C99" w:rsidRPr="002F4C4C" w:rsidRDefault="005A7C99" w:rsidP="005A7C99">
            <w:r>
              <w:t>3. pillér</w:t>
            </w:r>
          </w:p>
        </w:tc>
        <w:tc>
          <w:tcPr>
            <w:tcW w:w="4678" w:type="dxa"/>
          </w:tcPr>
          <w:p w14:paraId="2C18A1AF" w14:textId="1B8DFC68" w:rsidR="005A7C99" w:rsidRDefault="005A7C99" w:rsidP="005A7C99">
            <w:pPr>
              <w:spacing w:after="0"/>
            </w:pPr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63C7821E" w14:textId="77777777" w:rsidTr="0001307D">
        <w:trPr>
          <w:trHeight w:val="207"/>
          <w:jc w:val="center"/>
        </w:trPr>
        <w:tc>
          <w:tcPr>
            <w:tcW w:w="551" w:type="dxa"/>
          </w:tcPr>
          <w:p w14:paraId="15B44392" w14:textId="6AEC883F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3410" w:type="dxa"/>
          </w:tcPr>
          <w:p w14:paraId="3F90E479" w14:textId="2F110EFC" w:rsidR="005A7C99" w:rsidRPr="002F4C4C" w:rsidRDefault="005A7C99" w:rsidP="005A7C99">
            <w:r>
              <w:t xml:space="preserve">Tudományos </w:t>
            </w:r>
            <w:r w:rsidRPr="002F4C4C">
              <w:t>publikációk</w:t>
            </w:r>
            <w:r>
              <w:t>, konferenciaszereplések,</w:t>
            </w:r>
            <w:r w:rsidRPr="00CB7481">
              <w:t xml:space="preserve"> </w:t>
            </w:r>
            <w:r w:rsidRPr="00CB7481">
              <w:lastRenderedPageBreak/>
              <w:t>külföldi tanulmányút</w:t>
            </w:r>
            <w:r>
              <w:t xml:space="preserve"> (2.mellékletben)</w:t>
            </w:r>
          </w:p>
        </w:tc>
        <w:tc>
          <w:tcPr>
            <w:tcW w:w="2552" w:type="dxa"/>
          </w:tcPr>
          <w:p w14:paraId="3499C4C8" w14:textId="77777777" w:rsidR="005A7C99" w:rsidRPr="002F4C4C" w:rsidRDefault="005A7C99" w:rsidP="005A7C99"/>
        </w:tc>
        <w:tc>
          <w:tcPr>
            <w:tcW w:w="4678" w:type="dxa"/>
          </w:tcPr>
          <w:p w14:paraId="0A1F09CC" w14:textId="071F4980" w:rsidR="005A7C99" w:rsidRPr="002F4C4C" w:rsidRDefault="005A7C99" w:rsidP="005A7C99">
            <w:pPr>
              <w:spacing w:after="0"/>
            </w:pPr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3EB45F2F" w14:textId="77777777" w:rsidTr="0001307D">
        <w:trPr>
          <w:trHeight w:val="429"/>
          <w:jc w:val="center"/>
        </w:trPr>
        <w:tc>
          <w:tcPr>
            <w:tcW w:w="551" w:type="dxa"/>
          </w:tcPr>
          <w:p w14:paraId="77D79CC6" w14:textId="4EE069EF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lastRenderedPageBreak/>
              <w:t>3</w:t>
            </w:r>
            <w:r>
              <w:rPr>
                <w:b/>
              </w:rPr>
              <w:t>3</w:t>
            </w:r>
          </w:p>
        </w:tc>
        <w:tc>
          <w:tcPr>
            <w:tcW w:w="3410" w:type="dxa"/>
          </w:tcPr>
          <w:p w14:paraId="2108F653" w14:textId="77777777" w:rsidR="005A7C99" w:rsidRDefault="005A7C99" w:rsidP="005A7C99">
            <w:r w:rsidRPr="002F4C4C">
              <w:t>hazai és nemzetközi felsőoktatási intézményekkel, illetve ahhoz kapcsolódó szervezetekkel</w:t>
            </w:r>
            <w:r>
              <w:t xml:space="preserve"> </w:t>
            </w:r>
            <w:r w:rsidRPr="002F4C4C">
              <w:t>fenntartott kapcsolatai</w:t>
            </w:r>
          </w:p>
          <w:p w14:paraId="7A4AB99D" w14:textId="7C0138D5" w:rsidR="005A7C99" w:rsidRPr="002F4C4C" w:rsidRDefault="005A7C99" w:rsidP="005A7C99">
            <w:r>
              <w:t>(</w:t>
            </w:r>
            <w:r w:rsidRPr="006A20E7">
              <w:t>3. melléklet</w:t>
            </w:r>
            <w:r>
              <w:t>)</w:t>
            </w:r>
          </w:p>
        </w:tc>
        <w:tc>
          <w:tcPr>
            <w:tcW w:w="2552" w:type="dxa"/>
          </w:tcPr>
          <w:p w14:paraId="1FBFBC77" w14:textId="77777777" w:rsidR="005A7C99" w:rsidRPr="002F4C4C" w:rsidRDefault="005A7C99" w:rsidP="005A7C99"/>
        </w:tc>
        <w:tc>
          <w:tcPr>
            <w:tcW w:w="4678" w:type="dxa"/>
          </w:tcPr>
          <w:p w14:paraId="19ADE199" w14:textId="6EDE0078" w:rsidR="005A7C99" w:rsidRPr="002F4C4C" w:rsidRDefault="005A7C99" w:rsidP="005A7C99">
            <w:pPr>
              <w:pStyle w:val="Listaszerbekezds"/>
              <w:numPr>
                <w:ilvl w:val="0"/>
                <w:numId w:val="2"/>
              </w:numPr>
              <w:spacing w:after="0"/>
              <w:ind w:left="180" w:hanging="180"/>
            </w:pPr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5A99F87D" w14:textId="77777777" w:rsidTr="0001307D">
        <w:trPr>
          <w:trHeight w:val="207"/>
          <w:jc w:val="center"/>
        </w:trPr>
        <w:tc>
          <w:tcPr>
            <w:tcW w:w="551" w:type="dxa"/>
          </w:tcPr>
          <w:p w14:paraId="28B4552F" w14:textId="26EA2864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410" w:type="dxa"/>
            <w:shd w:val="clear" w:color="auto" w:fill="0F9ED5" w:themeFill="accent4"/>
          </w:tcPr>
          <w:p w14:paraId="2934AE03" w14:textId="77777777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MELLÉKLET</w:t>
            </w:r>
          </w:p>
        </w:tc>
        <w:tc>
          <w:tcPr>
            <w:tcW w:w="2552" w:type="dxa"/>
            <w:shd w:val="clear" w:color="auto" w:fill="0F9ED5" w:themeFill="accent4"/>
          </w:tcPr>
          <w:p w14:paraId="5D71A34C" w14:textId="77777777" w:rsidR="005A7C99" w:rsidRDefault="005A7C99" w:rsidP="005A7C99">
            <w:r>
              <w:t>ESG1.7</w:t>
            </w:r>
          </w:p>
          <w:p w14:paraId="65047CEF" w14:textId="55684516" w:rsidR="005A7C99" w:rsidRPr="002F4C4C" w:rsidRDefault="005A7C99" w:rsidP="005A7C99">
            <w:r>
              <w:t>Stratégia: 2-3. pillér</w:t>
            </w:r>
          </w:p>
        </w:tc>
        <w:tc>
          <w:tcPr>
            <w:tcW w:w="4678" w:type="dxa"/>
            <w:shd w:val="clear" w:color="auto" w:fill="0F9ED5" w:themeFill="accent4"/>
          </w:tcPr>
          <w:p w14:paraId="7839C07A" w14:textId="30CCBAF9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34BFA905" w14:textId="77777777" w:rsidTr="0001307D">
        <w:trPr>
          <w:trHeight w:val="429"/>
          <w:jc w:val="center"/>
        </w:trPr>
        <w:tc>
          <w:tcPr>
            <w:tcW w:w="551" w:type="dxa"/>
          </w:tcPr>
          <w:p w14:paraId="5FDEAA1A" w14:textId="5713FA4E" w:rsidR="005A7C99" w:rsidRPr="002F4C4C" w:rsidRDefault="005A7C99" w:rsidP="005A7C99">
            <w:pPr>
              <w:rPr>
                <w:b/>
              </w:rPr>
            </w:pPr>
            <w:r w:rsidRPr="002F4C4C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3410" w:type="dxa"/>
          </w:tcPr>
          <w:p w14:paraId="7C30875A" w14:textId="09D72400" w:rsidR="005A7C99" w:rsidRPr="006A20E7" w:rsidRDefault="005A7C99" w:rsidP="005A7C99">
            <w:pPr>
              <w:rPr>
                <w:highlight w:val="yellow"/>
              </w:rPr>
            </w:pPr>
            <w:r w:rsidRPr="006A20E7">
              <w:rPr>
                <w:highlight w:val="yellow"/>
              </w:rPr>
              <w:t>1. melléklet: Oktatási eredmények (2024/2025. tanév)</w:t>
            </w:r>
          </w:p>
          <w:p w14:paraId="6CC574B7" w14:textId="2ADC2CBC" w:rsidR="005A7C99" w:rsidRPr="006A20E7" w:rsidRDefault="005A7C99" w:rsidP="005A7C99">
            <w:pPr>
              <w:rPr>
                <w:highlight w:val="yellow"/>
              </w:rPr>
            </w:pPr>
            <w:r w:rsidRPr="006A20E7">
              <w:rPr>
                <w:highlight w:val="yellow"/>
              </w:rPr>
              <w:t>Az Intézet hallgatói állományának főbb adatai</w:t>
            </w:r>
          </w:p>
        </w:tc>
        <w:tc>
          <w:tcPr>
            <w:tcW w:w="2552" w:type="dxa"/>
          </w:tcPr>
          <w:p w14:paraId="6E1B7568" w14:textId="77777777" w:rsidR="005A7C99" w:rsidRPr="002F4C4C" w:rsidRDefault="005A7C99" w:rsidP="005A7C99"/>
        </w:tc>
        <w:tc>
          <w:tcPr>
            <w:tcW w:w="4678" w:type="dxa"/>
          </w:tcPr>
          <w:p w14:paraId="2E740A66" w14:textId="6FECD992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425F63B9" w14:textId="77777777" w:rsidTr="0001307D">
        <w:trPr>
          <w:trHeight w:val="207"/>
          <w:jc w:val="center"/>
        </w:trPr>
        <w:tc>
          <w:tcPr>
            <w:tcW w:w="551" w:type="dxa"/>
          </w:tcPr>
          <w:p w14:paraId="11C3CD6D" w14:textId="783DD5CE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3410" w:type="dxa"/>
          </w:tcPr>
          <w:p w14:paraId="1FAC9BDA" w14:textId="75B1FF24" w:rsidR="005A7C99" w:rsidRPr="002F4C4C" w:rsidRDefault="005A7C99" w:rsidP="005A7C99">
            <w:r>
              <w:t>2</w:t>
            </w:r>
            <w:r w:rsidRPr="002F4C4C">
              <w:t>. melléklet</w:t>
            </w:r>
            <w:r>
              <w:t>:</w:t>
            </w:r>
            <w:r w:rsidRPr="002F4C4C">
              <w:t xml:space="preserve"> </w:t>
            </w:r>
            <w:r w:rsidRPr="006C0335">
              <w:t xml:space="preserve">Az Intézet </w:t>
            </w:r>
            <w:r w:rsidRPr="002F4C4C">
              <w:t xml:space="preserve">főállású oktatóinak publikációs teljesítménye </w:t>
            </w:r>
            <w:r>
              <w:t xml:space="preserve">és </w:t>
            </w:r>
            <w:r w:rsidRPr="00707F5C">
              <w:t>konferenciaszereplések</w:t>
            </w:r>
            <w:r w:rsidRPr="002F4C4C">
              <w:t xml:space="preserve"> (20</w:t>
            </w:r>
            <w:r w:rsidRPr="00707F5C">
              <w:t>24</w:t>
            </w:r>
            <w:r w:rsidRPr="002F4C4C">
              <w:t>/202</w:t>
            </w:r>
            <w:r w:rsidRPr="00707F5C">
              <w:t>5</w:t>
            </w:r>
            <w:r w:rsidRPr="002F4C4C">
              <w:t xml:space="preserve">. </w:t>
            </w:r>
            <w:r w:rsidRPr="00707F5C">
              <w:t>tanév)</w:t>
            </w:r>
          </w:p>
        </w:tc>
        <w:tc>
          <w:tcPr>
            <w:tcW w:w="2552" w:type="dxa"/>
          </w:tcPr>
          <w:p w14:paraId="3BE3B816" w14:textId="77777777" w:rsidR="005A7C99" w:rsidRPr="002F4C4C" w:rsidRDefault="005A7C99" w:rsidP="005A7C99"/>
        </w:tc>
        <w:tc>
          <w:tcPr>
            <w:tcW w:w="4678" w:type="dxa"/>
          </w:tcPr>
          <w:p w14:paraId="2A19FF2E" w14:textId="7EDA7894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0851D850" w14:textId="77777777" w:rsidTr="0001307D">
        <w:trPr>
          <w:trHeight w:val="652"/>
          <w:jc w:val="center"/>
        </w:trPr>
        <w:tc>
          <w:tcPr>
            <w:tcW w:w="551" w:type="dxa"/>
          </w:tcPr>
          <w:p w14:paraId="60818C24" w14:textId="77777777" w:rsidR="005A7C99" w:rsidRPr="002F4C4C" w:rsidRDefault="005A7C99" w:rsidP="005A7C99">
            <w:pPr>
              <w:rPr>
                <w:b/>
              </w:rPr>
            </w:pPr>
          </w:p>
          <w:p w14:paraId="64EA3C68" w14:textId="5C109A35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410" w:type="dxa"/>
          </w:tcPr>
          <w:p w14:paraId="091C613D" w14:textId="3BD1A60C" w:rsidR="005A7C99" w:rsidRPr="0023708B" w:rsidRDefault="005A7C99" w:rsidP="005A7C99">
            <w:pPr>
              <w:pStyle w:val="Listaszerbekezds"/>
              <w:ind w:left="0"/>
            </w:pPr>
            <w:r>
              <w:t>3</w:t>
            </w:r>
            <w:r w:rsidRPr="0023708B">
              <w:t>. melléklet: Hazai és külföldi felsőoktatási</w:t>
            </w:r>
            <w:r>
              <w:t xml:space="preserve"> </w:t>
            </w:r>
            <w:r w:rsidRPr="0023708B">
              <w:t xml:space="preserve">intézményekkel, gazdasági, társadalmi </w:t>
            </w:r>
            <w:r w:rsidRPr="0023708B">
              <w:lastRenderedPageBreak/>
              <w:t>partnerekkel fenntartott kapcsolatok</w:t>
            </w:r>
          </w:p>
          <w:p w14:paraId="20CB1384" w14:textId="77777777" w:rsidR="005A7C99" w:rsidRPr="0023708B" w:rsidRDefault="005A7C99" w:rsidP="005A7C99">
            <w:pPr>
              <w:numPr>
                <w:ilvl w:val="1"/>
                <w:numId w:val="1"/>
              </w:numPr>
            </w:pPr>
            <w:r w:rsidRPr="0023708B">
              <w:t>Hazai felsőoktatási intézményekkel fenntartott kapcsolatok</w:t>
            </w:r>
          </w:p>
          <w:p w14:paraId="73E2F491" w14:textId="77777777" w:rsidR="005A7C99" w:rsidRPr="0023708B" w:rsidRDefault="005A7C99" w:rsidP="005A7C99">
            <w:pPr>
              <w:numPr>
                <w:ilvl w:val="1"/>
                <w:numId w:val="1"/>
              </w:numPr>
            </w:pPr>
            <w:r w:rsidRPr="0023708B">
              <w:t>Külföldi felsőoktatási intézményekkel fenntartott kapcsolatok</w:t>
            </w:r>
          </w:p>
          <w:p w14:paraId="29B864D4" w14:textId="617BFDA5" w:rsidR="005A7C99" w:rsidRPr="0023708B" w:rsidRDefault="005A7C99" w:rsidP="005A7C99">
            <w:pPr>
              <w:numPr>
                <w:ilvl w:val="1"/>
                <w:numId w:val="1"/>
              </w:numPr>
            </w:pPr>
            <w:r w:rsidRPr="0023708B">
              <w:t>Gazdasági, társadalmi partnerekkel fenntartott kapcsolatok</w:t>
            </w:r>
          </w:p>
        </w:tc>
        <w:tc>
          <w:tcPr>
            <w:tcW w:w="2552" w:type="dxa"/>
          </w:tcPr>
          <w:p w14:paraId="2200E37F" w14:textId="77777777" w:rsidR="005A7C99" w:rsidRPr="002F4C4C" w:rsidRDefault="005A7C99" w:rsidP="005A7C99"/>
        </w:tc>
        <w:tc>
          <w:tcPr>
            <w:tcW w:w="4678" w:type="dxa"/>
          </w:tcPr>
          <w:p w14:paraId="65E11E3C" w14:textId="293ADBA5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  <w:tr w:rsidR="005A7C99" w:rsidRPr="002F4C4C" w14:paraId="1983DD00" w14:textId="77777777" w:rsidTr="0001307D">
        <w:trPr>
          <w:trHeight w:val="652"/>
          <w:jc w:val="center"/>
        </w:trPr>
        <w:tc>
          <w:tcPr>
            <w:tcW w:w="551" w:type="dxa"/>
          </w:tcPr>
          <w:p w14:paraId="409A0235" w14:textId="1CB21E37" w:rsidR="005A7C99" w:rsidRPr="002F4C4C" w:rsidRDefault="005A7C99" w:rsidP="005A7C99">
            <w:pPr>
              <w:rPr>
                <w:b/>
              </w:rPr>
            </w:pPr>
            <w:r>
              <w:rPr>
                <w:b/>
              </w:rPr>
              <w:lastRenderedPageBreak/>
              <w:t>38.</w:t>
            </w:r>
          </w:p>
        </w:tc>
        <w:tc>
          <w:tcPr>
            <w:tcW w:w="3410" w:type="dxa"/>
          </w:tcPr>
          <w:p w14:paraId="6F538816" w14:textId="327F595E" w:rsidR="005A7C99" w:rsidRPr="0023708B" w:rsidRDefault="005A7C99" w:rsidP="005A7C99">
            <w:r>
              <w:t>4</w:t>
            </w:r>
            <w:r w:rsidRPr="0023708B">
              <w:t>. melléklet</w:t>
            </w:r>
            <w:r>
              <w:t>: Szakfelelősök értékelése</w:t>
            </w:r>
          </w:p>
        </w:tc>
        <w:tc>
          <w:tcPr>
            <w:tcW w:w="2552" w:type="dxa"/>
          </w:tcPr>
          <w:p w14:paraId="7298B637" w14:textId="77777777" w:rsidR="005A7C99" w:rsidRPr="002F4C4C" w:rsidRDefault="005A7C99" w:rsidP="005A7C99"/>
        </w:tc>
        <w:tc>
          <w:tcPr>
            <w:tcW w:w="4678" w:type="dxa"/>
          </w:tcPr>
          <w:p w14:paraId="6793507E" w14:textId="0560D433" w:rsidR="005A7C99" w:rsidRPr="002F4C4C" w:rsidRDefault="005A7C99" w:rsidP="005A7C99">
            <w:r w:rsidRPr="005A7C99">
              <w:rPr>
                <w:i/>
                <w:iCs/>
              </w:rPr>
              <w:t>nem releváns</w:t>
            </w:r>
          </w:p>
        </w:tc>
      </w:tr>
    </w:tbl>
    <w:p w14:paraId="05925A34" w14:textId="77777777" w:rsidR="006428B4" w:rsidRDefault="006428B4" w:rsidP="006428B4">
      <w:pPr>
        <w:pStyle w:val="Default"/>
        <w:rPr>
          <w:sz w:val="23"/>
          <w:szCs w:val="23"/>
        </w:rPr>
      </w:pPr>
    </w:p>
    <w:p w14:paraId="6B0FB763" w14:textId="77777777" w:rsidR="006428B4" w:rsidRDefault="006428B4" w:rsidP="006428B4">
      <w:pPr>
        <w:pStyle w:val="Default"/>
        <w:pageBreakBefore/>
        <w:rPr>
          <w:color w:val="auto"/>
        </w:rPr>
      </w:pPr>
    </w:p>
    <w:p w14:paraId="202672AC" w14:textId="77777777" w:rsidR="006428B4" w:rsidRPr="006428B4" w:rsidRDefault="006428B4" w:rsidP="006428B4">
      <w:pPr>
        <w:rPr>
          <w:b/>
        </w:rPr>
      </w:pPr>
      <w:r w:rsidRPr="006428B4">
        <w:rPr>
          <w:b/>
        </w:rPr>
        <w:t>Az</w:t>
      </w:r>
      <w:r w:rsidRPr="006428B4">
        <w:t xml:space="preserve"> </w:t>
      </w:r>
      <w:r w:rsidRPr="006428B4">
        <w:rPr>
          <w:b/>
        </w:rPr>
        <w:t>ESG</w:t>
      </w:r>
      <w:r w:rsidRPr="006428B4">
        <w:t xml:space="preserve"> </w:t>
      </w:r>
      <w:r w:rsidRPr="006428B4">
        <w:rPr>
          <w:b/>
        </w:rPr>
        <w:t>minőségbiztosítási</w:t>
      </w:r>
      <w:r w:rsidRPr="006428B4">
        <w:t xml:space="preserve"> </w:t>
      </w:r>
      <w:r w:rsidRPr="006428B4">
        <w:rPr>
          <w:b/>
        </w:rPr>
        <w:t>standardjai</w:t>
      </w:r>
    </w:p>
    <w:p w14:paraId="7E09F903" w14:textId="77777777" w:rsidR="006428B4" w:rsidRPr="006428B4" w:rsidRDefault="006428B4" w:rsidP="006428B4">
      <w:pPr>
        <w:rPr>
          <w:b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976"/>
        <w:gridCol w:w="9646"/>
      </w:tblGrid>
      <w:tr w:rsidR="006428B4" w:rsidRPr="006428B4" w14:paraId="32AC68A9" w14:textId="77777777" w:rsidTr="003322C5">
        <w:trPr>
          <w:trHeight w:val="587"/>
        </w:trPr>
        <w:tc>
          <w:tcPr>
            <w:tcW w:w="1697" w:type="dxa"/>
          </w:tcPr>
          <w:p w14:paraId="5FA2E1B2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Standard</w:t>
            </w:r>
          </w:p>
          <w:p w14:paraId="06B96261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száma</w:t>
            </w:r>
          </w:p>
        </w:tc>
        <w:tc>
          <w:tcPr>
            <w:tcW w:w="2976" w:type="dxa"/>
          </w:tcPr>
          <w:p w14:paraId="10FFC842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Standard</w:t>
            </w:r>
          </w:p>
        </w:tc>
        <w:tc>
          <w:tcPr>
            <w:tcW w:w="9646" w:type="dxa"/>
          </w:tcPr>
          <w:p w14:paraId="3FB2351D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Standard</w:t>
            </w:r>
            <w:r w:rsidRPr="006428B4">
              <w:t xml:space="preserve"> </w:t>
            </w:r>
            <w:r w:rsidRPr="006428B4">
              <w:rPr>
                <w:b/>
              </w:rPr>
              <w:t>tartalma</w:t>
            </w:r>
          </w:p>
        </w:tc>
      </w:tr>
      <w:tr w:rsidR="006428B4" w:rsidRPr="006428B4" w14:paraId="49B1D24E" w14:textId="77777777" w:rsidTr="003322C5">
        <w:trPr>
          <w:trHeight w:val="1411"/>
        </w:trPr>
        <w:tc>
          <w:tcPr>
            <w:tcW w:w="1697" w:type="dxa"/>
          </w:tcPr>
          <w:p w14:paraId="1B37EE0B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</w:t>
            </w:r>
            <w:r w:rsidRPr="006428B4">
              <w:t xml:space="preserve"> </w:t>
            </w:r>
            <w:r w:rsidRPr="006428B4">
              <w:rPr>
                <w:b/>
              </w:rPr>
              <w:t>1.1</w:t>
            </w:r>
          </w:p>
        </w:tc>
        <w:tc>
          <w:tcPr>
            <w:tcW w:w="2976" w:type="dxa"/>
          </w:tcPr>
          <w:p w14:paraId="4BB3DCE2" w14:textId="77777777" w:rsidR="006428B4" w:rsidRPr="006428B4" w:rsidRDefault="006428B4" w:rsidP="006428B4">
            <w:r w:rsidRPr="006428B4">
              <w:t>Minőségbiztosítási politika</w:t>
            </w:r>
          </w:p>
        </w:tc>
        <w:tc>
          <w:tcPr>
            <w:tcW w:w="9646" w:type="dxa"/>
          </w:tcPr>
          <w:p w14:paraId="4E2DAF7B" w14:textId="77777777" w:rsidR="006428B4" w:rsidRPr="006428B4" w:rsidRDefault="006428B4" w:rsidP="006428B4">
            <w:r w:rsidRPr="006428B4">
              <w:t xml:space="preserve"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</w:t>
            </w:r>
            <w:proofErr w:type="spellStart"/>
            <w:r w:rsidRPr="006428B4">
              <w:t>folya</w:t>
            </w:r>
            <w:proofErr w:type="spellEnd"/>
            <w:r w:rsidRPr="006428B4">
              <w:t xml:space="preserve">− </w:t>
            </w:r>
            <w:proofErr w:type="spellStart"/>
            <w:r w:rsidRPr="006428B4">
              <w:t>matok</w:t>
            </w:r>
            <w:proofErr w:type="spellEnd"/>
            <w:r w:rsidRPr="006428B4">
              <w:t xml:space="preserve"> révén, a külső érintettek [felhasználók, munkaadók, partnerek] bevonásával.</w:t>
            </w:r>
          </w:p>
        </w:tc>
      </w:tr>
      <w:tr w:rsidR="006428B4" w:rsidRPr="006428B4" w14:paraId="6E53F6C8" w14:textId="77777777" w:rsidTr="003322C5">
        <w:trPr>
          <w:trHeight w:val="1998"/>
        </w:trPr>
        <w:tc>
          <w:tcPr>
            <w:tcW w:w="1697" w:type="dxa"/>
          </w:tcPr>
          <w:p w14:paraId="45DDE542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</w:t>
            </w:r>
            <w:r w:rsidRPr="006428B4">
              <w:t xml:space="preserve"> </w:t>
            </w:r>
            <w:r w:rsidRPr="006428B4">
              <w:rPr>
                <w:b/>
              </w:rPr>
              <w:t>1.2</w:t>
            </w:r>
          </w:p>
        </w:tc>
        <w:tc>
          <w:tcPr>
            <w:tcW w:w="2976" w:type="dxa"/>
          </w:tcPr>
          <w:p w14:paraId="6CB0F688" w14:textId="77777777" w:rsidR="006428B4" w:rsidRPr="006428B4" w:rsidRDefault="006428B4" w:rsidP="006428B4">
            <w:r w:rsidRPr="006428B4">
              <w:t>A képzési programok kialakítása és jóváhagyása</w:t>
            </w:r>
          </w:p>
        </w:tc>
        <w:tc>
          <w:tcPr>
            <w:tcW w:w="9646" w:type="dxa"/>
          </w:tcPr>
          <w:p w14:paraId="5BEEAC47" w14:textId="77777777" w:rsidR="006428B4" w:rsidRPr="006428B4" w:rsidRDefault="006428B4" w:rsidP="006428B4">
            <w:r w:rsidRPr="006428B4">
      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      </w:r>
          </w:p>
        </w:tc>
      </w:tr>
      <w:tr w:rsidR="006428B4" w:rsidRPr="006428B4" w14:paraId="35B351F0" w14:textId="77777777" w:rsidTr="003322C5">
        <w:trPr>
          <w:trHeight w:val="1118"/>
        </w:trPr>
        <w:tc>
          <w:tcPr>
            <w:tcW w:w="1697" w:type="dxa"/>
          </w:tcPr>
          <w:p w14:paraId="262F5271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ESG1.3</w:t>
            </w:r>
          </w:p>
        </w:tc>
        <w:tc>
          <w:tcPr>
            <w:tcW w:w="2976" w:type="dxa"/>
          </w:tcPr>
          <w:p w14:paraId="007A6F3A" w14:textId="77777777" w:rsidR="006428B4" w:rsidRPr="006428B4" w:rsidRDefault="006428B4" w:rsidP="006428B4">
            <w:r w:rsidRPr="006428B4">
              <w:t>Hallgatóközpontú tanulás, tanítás és értékelés</w:t>
            </w:r>
          </w:p>
        </w:tc>
        <w:tc>
          <w:tcPr>
            <w:tcW w:w="9646" w:type="dxa"/>
          </w:tcPr>
          <w:p w14:paraId="7409C40E" w14:textId="77777777" w:rsidR="006428B4" w:rsidRPr="006428B4" w:rsidRDefault="006428B4" w:rsidP="006428B4">
            <w:r w:rsidRPr="006428B4">
              <w:t>Az intézmények biztosítsák képzési programjaik olyan megvalósítását, amely aktív szerepre ösztönzi a hallgatókat a tanulási folyamat létrehozásában. A hallgatók érté− kelése tükrözze ezt a megközelítést.</w:t>
            </w:r>
          </w:p>
        </w:tc>
      </w:tr>
      <w:tr w:rsidR="006428B4" w:rsidRPr="006428B4" w14:paraId="1F8F74E9" w14:textId="77777777" w:rsidTr="003322C5">
        <w:trPr>
          <w:trHeight w:val="1463"/>
        </w:trPr>
        <w:tc>
          <w:tcPr>
            <w:tcW w:w="1697" w:type="dxa"/>
          </w:tcPr>
          <w:p w14:paraId="3B5B2527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ESG1.4</w:t>
            </w:r>
          </w:p>
        </w:tc>
        <w:tc>
          <w:tcPr>
            <w:tcW w:w="2976" w:type="dxa"/>
          </w:tcPr>
          <w:p w14:paraId="32AD0F27" w14:textId="77777777" w:rsidR="006428B4" w:rsidRPr="006428B4" w:rsidRDefault="006428B4" w:rsidP="006428B4">
            <w:r w:rsidRPr="006428B4">
              <w:t xml:space="preserve">A hallgatók felvétele, </w:t>
            </w:r>
            <w:proofErr w:type="spellStart"/>
            <w:r w:rsidRPr="006428B4">
              <w:t>előrehaladása</w:t>
            </w:r>
            <w:proofErr w:type="spellEnd"/>
            <w:r w:rsidRPr="006428B4">
              <w:t xml:space="preserve">, tanulmányaik </w:t>
            </w:r>
            <w:proofErr w:type="spellStart"/>
            <w:r w:rsidRPr="006428B4">
              <w:t>elis</w:t>
            </w:r>
            <w:proofErr w:type="spellEnd"/>
            <w:r w:rsidRPr="006428B4">
              <w:t>− merése és a képesítés</w:t>
            </w:r>
          </w:p>
          <w:p w14:paraId="342B17AC" w14:textId="77777777" w:rsidR="006428B4" w:rsidRPr="006428B4" w:rsidRDefault="006428B4" w:rsidP="006428B4">
            <w:r w:rsidRPr="006428B4">
              <w:t>odaítélése</w:t>
            </w:r>
          </w:p>
        </w:tc>
        <w:tc>
          <w:tcPr>
            <w:tcW w:w="9646" w:type="dxa"/>
          </w:tcPr>
          <w:p w14:paraId="7437E66A" w14:textId="77777777" w:rsidR="006428B4" w:rsidRPr="006428B4" w:rsidRDefault="006428B4" w:rsidP="006428B4">
            <w:r w:rsidRPr="006428B4">
      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      </w:r>
          </w:p>
        </w:tc>
      </w:tr>
      <w:tr w:rsidR="006428B4" w:rsidRPr="006428B4" w14:paraId="1303FA27" w14:textId="77777777" w:rsidTr="003322C5">
        <w:trPr>
          <w:trHeight w:val="1120"/>
        </w:trPr>
        <w:tc>
          <w:tcPr>
            <w:tcW w:w="1697" w:type="dxa"/>
          </w:tcPr>
          <w:p w14:paraId="5D84C09F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lastRenderedPageBreak/>
              <w:t>ESG1.5</w:t>
            </w:r>
          </w:p>
        </w:tc>
        <w:tc>
          <w:tcPr>
            <w:tcW w:w="2976" w:type="dxa"/>
          </w:tcPr>
          <w:p w14:paraId="48DE7385" w14:textId="77777777" w:rsidR="006428B4" w:rsidRPr="006428B4" w:rsidRDefault="006428B4" w:rsidP="006428B4">
            <w:r w:rsidRPr="006428B4">
              <w:t>Oktatók</w:t>
            </w:r>
          </w:p>
        </w:tc>
        <w:tc>
          <w:tcPr>
            <w:tcW w:w="9646" w:type="dxa"/>
          </w:tcPr>
          <w:p w14:paraId="19029467" w14:textId="55EE8541" w:rsidR="006428B4" w:rsidRPr="006428B4" w:rsidRDefault="006428B4" w:rsidP="006428B4">
            <w:r w:rsidRPr="006428B4">
              <w:t xml:space="preserve">Az intézmények biztosítsák, </w:t>
            </w:r>
            <w:proofErr w:type="gramStart"/>
            <w:r w:rsidRPr="006428B4">
              <w:t>hogy  oktatóik</w:t>
            </w:r>
            <w:proofErr w:type="gramEnd"/>
            <w:r w:rsidRPr="006428B4">
              <w:t xml:space="preserve">  megfelelő  kompetenciával  rendelkezz</w:t>
            </w:r>
            <w:r>
              <w:t>e</w:t>
            </w:r>
            <w:r w:rsidRPr="006428B4">
              <w:t>nek. Alkalmazzanak méltányos és átlátható eljárásokat oktatóik toborzására és</w:t>
            </w:r>
            <w:r>
              <w:t xml:space="preserve"> </w:t>
            </w:r>
            <w:r w:rsidRPr="006428B4">
              <w:t>továbbképzésére.</w:t>
            </w:r>
          </w:p>
        </w:tc>
      </w:tr>
    </w:tbl>
    <w:p w14:paraId="1AA06FA1" w14:textId="77777777" w:rsidR="006428B4" w:rsidRPr="006428B4" w:rsidRDefault="006428B4" w:rsidP="006428B4">
      <w:pPr>
        <w:sectPr w:rsidR="006428B4" w:rsidRPr="006428B4" w:rsidSect="00431DEF">
          <w:footerReference w:type="default" r:id="rId8"/>
          <w:pgSz w:w="16840" w:h="11910" w:orient="landscape"/>
          <w:pgMar w:top="1260" w:right="1020" w:bottom="1200" w:left="1020" w:header="0" w:footer="1000" w:gutter="0"/>
          <w:pgNumType w:start="18"/>
          <w:cols w:space="708"/>
          <w:docGrid w:linePitch="326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77"/>
        <w:gridCol w:w="9781"/>
      </w:tblGrid>
      <w:tr w:rsidR="006428B4" w:rsidRPr="006428B4" w14:paraId="18D80DF7" w14:textId="77777777" w:rsidTr="003322C5">
        <w:trPr>
          <w:trHeight w:val="1120"/>
        </w:trPr>
        <w:tc>
          <w:tcPr>
            <w:tcW w:w="1556" w:type="dxa"/>
          </w:tcPr>
          <w:p w14:paraId="17E73594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lastRenderedPageBreak/>
              <w:t>ESG1.6</w:t>
            </w:r>
          </w:p>
        </w:tc>
        <w:tc>
          <w:tcPr>
            <w:tcW w:w="2977" w:type="dxa"/>
          </w:tcPr>
          <w:p w14:paraId="1BFF2A30" w14:textId="77777777" w:rsidR="006428B4" w:rsidRPr="006428B4" w:rsidRDefault="006428B4" w:rsidP="006428B4">
            <w:r w:rsidRPr="006428B4">
              <w:t>Tanulástámogatás és hallgatói szolgáltatások</w:t>
            </w:r>
          </w:p>
        </w:tc>
        <w:tc>
          <w:tcPr>
            <w:tcW w:w="9781" w:type="dxa"/>
          </w:tcPr>
          <w:p w14:paraId="2702287D" w14:textId="77777777" w:rsidR="006428B4" w:rsidRPr="006428B4" w:rsidRDefault="006428B4" w:rsidP="006428B4">
            <w:r w:rsidRPr="006428B4">
              <w:t>Az intézmények megfelelő finanszírozási forrásokkal rendelkezzenek a tanulási és tanítási tevékenységekhez, valamint biztosítsanak adekvát és könnyen hozzáférhető tanulástámogató feltételeket és hallgatói szolgáltatásokat.</w:t>
            </w:r>
          </w:p>
        </w:tc>
      </w:tr>
      <w:tr w:rsidR="006428B4" w:rsidRPr="006428B4" w14:paraId="5C5D50AC" w14:textId="77777777" w:rsidTr="003322C5">
        <w:trPr>
          <w:trHeight w:val="825"/>
        </w:trPr>
        <w:tc>
          <w:tcPr>
            <w:tcW w:w="1556" w:type="dxa"/>
          </w:tcPr>
          <w:p w14:paraId="339C8C4E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ESG1.7</w:t>
            </w:r>
          </w:p>
        </w:tc>
        <w:tc>
          <w:tcPr>
            <w:tcW w:w="2977" w:type="dxa"/>
          </w:tcPr>
          <w:p w14:paraId="17BF626E" w14:textId="77777777" w:rsidR="006428B4" w:rsidRPr="006428B4" w:rsidRDefault="006428B4" w:rsidP="006428B4">
            <w:r w:rsidRPr="006428B4">
              <w:t>Információkezelés</w:t>
            </w:r>
          </w:p>
        </w:tc>
        <w:tc>
          <w:tcPr>
            <w:tcW w:w="9781" w:type="dxa"/>
          </w:tcPr>
          <w:p w14:paraId="242FE47D" w14:textId="77777777" w:rsidR="006428B4" w:rsidRPr="006428B4" w:rsidRDefault="006428B4" w:rsidP="006428B4">
            <w:r w:rsidRPr="006428B4">
              <w:t>Az</w:t>
            </w:r>
            <w:r w:rsidRPr="006428B4">
              <w:tab/>
              <w:t>intézmények</w:t>
            </w:r>
            <w:r w:rsidRPr="006428B4">
              <w:tab/>
              <w:t>gyűjtsenek,</w:t>
            </w:r>
            <w:r w:rsidRPr="006428B4">
              <w:tab/>
              <w:t>elemezzenek</w:t>
            </w:r>
            <w:r w:rsidRPr="006428B4">
              <w:tab/>
              <w:t>és</w:t>
            </w:r>
            <w:r w:rsidRPr="006428B4">
              <w:tab/>
              <w:t>használjanak</w:t>
            </w:r>
            <w:r w:rsidRPr="006428B4">
              <w:tab/>
              <w:t>releváns</w:t>
            </w:r>
            <w:r w:rsidRPr="006428B4">
              <w:tab/>
              <w:t>információkat képzési programjaik és egyéb tevékenységeik irányítására.</w:t>
            </w:r>
          </w:p>
        </w:tc>
      </w:tr>
      <w:tr w:rsidR="006428B4" w:rsidRPr="006428B4" w14:paraId="67DC21EB" w14:textId="77777777" w:rsidTr="003322C5">
        <w:trPr>
          <w:trHeight w:val="825"/>
        </w:trPr>
        <w:tc>
          <w:tcPr>
            <w:tcW w:w="1556" w:type="dxa"/>
          </w:tcPr>
          <w:p w14:paraId="02ECB858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ESG1.8</w:t>
            </w:r>
          </w:p>
        </w:tc>
        <w:tc>
          <w:tcPr>
            <w:tcW w:w="2977" w:type="dxa"/>
          </w:tcPr>
          <w:p w14:paraId="4E68C3FC" w14:textId="77777777" w:rsidR="006428B4" w:rsidRPr="006428B4" w:rsidRDefault="006428B4" w:rsidP="006428B4">
            <w:r w:rsidRPr="006428B4">
              <w:t>Nyilvános információk</w:t>
            </w:r>
          </w:p>
        </w:tc>
        <w:tc>
          <w:tcPr>
            <w:tcW w:w="9781" w:type="dxa"/>
          </w:tcPr>
          <w:p w14:paraId="24338759" w14:textId="3E1D831D" w:rsidR="006428B4" w:rsidRPr="006428B4" w:rsidRDefault="006428B4" w:rsidP="006428B4">
            <w:r w:rsidRPr="006428B4">
              <w:t>Az</w:t>
            </w:r>
            <w:r w:rsidRPr="006428B4">
              <w:tab/>
              <w:t>intézmények</w:t>
            </w:r>
            <w:r w:rsidRPr="006428B4">
              <w:tab/>
              <w:t>tegyenek</w:t>
            </w:r>
            <w:r w:rsidRPr="006428B4">
              <w:tab/>
              <w:t>közzé</w:t>
            </w:r>
            <w:r w:rsidRPr="006428B4">
              <w:tab/>
              <w:t>világos,</w:t>
            </w:r>
            <w:r w:rsidRPr="006428B4">
              <w:tab/>
              <w:t>pontos,</w:t>
            </w:r>
            <w:r w:rsidRPr="006428B4">
              <w:tab/>
              <w:t>objektív,</w:t>
            </w:r>
            <w:r w:rsidRPr="006428B4">
              <w:tab/>
              <w:t>naprakész</w:t>
            </w:r>
            <w:r>
              <w:t xml:space="preserve"> </w:t>
            </w:r>
            <w:r w:rsidRPr="006428B4">
              <w:t>és</w:t>
            </w:r>
            <w:r w:rsidRPr="006428B4">
              <w:tab/>
              <w:t>könnyen hozzáférhető információkat tevékenységükről, benne képzési programjaikról.</w:t>
            </w:r>
          </w:p>
        </w:tc>
      </w:tr>
      <w:tr w:rsidR="006428B4" w:rsidRPr="006428B4" w14:paraId="68B3E545" w14:textId="77777777" w:rsidTr="003322C5">
        <w:trPr>
          <w:trHeight w:val="1706"/>
        </w:trPr>
        <w:tc>
          <w:tcPr>
            <w:tcW w:w="1556" w:type="dxa"/>
          </w:tcPr>
          <w:p w14:paraId="030E243E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ESG1.9</w:t>
            </w:r>
          </w:p>
        </w:tc>
        <w:tc>
          <w:tcPr>
            <w:tcW w:w="2977" w:type="dxa"/>
          </w:tcPr>
          <w:p w14:paraId="50911944" w14:textId="77777777" w:rsidR="006428B4" w:rsidRPr="006428B4" w:rsidRDefault="006428B4" w:rsidP="006428B4">
            <w:r w:rsidRPr="006428B4">
              <w:t xml:space="preserve">A képzési programok folyamatos figyelemmel </w:t>
            </w:r>
            <w:proofErr w:type="spellStart"/>
            <w:r w:rsidRPr="006428B4">
              <w:t>kí</w:t>
            </w:r>
            <w:proofErr w:type="spellEnd"/>
            <w:r w:rsidRPr="006428B4">
              <w:t xml:space="preserve">− </w:t>
            </w:r>
            <w:proofErr w:type="spellStart"/>
            <w:r w:rsidRPr="006428B4">
              <w:t>sérése</w:t>
            </w:r>
            <w:proofErr w:type="spellEnd"/>
            <w:r w:rsidRPr="006428B4">
              <w:t xml:space="preserve"> és rendszeres értékelése</w:t>
            </w:r>
          </w:p>
        </w:tc>
        <w:tc>
          <w:tcPr>
            <w:tcW w:w="9781" w:type="dxa"/>
          </w:tcPr>
          <w:p w14:paraId="69832F21" w14:textId="083F651D" w:rsidR="006428B4" w:rsidRPr="006428B4" w:rsidRDefault="006428B4" w:rsidP="006428B4">
            <w:pPr>
              <w:jc w:val="both"/>
            </w:pPr>
            <w:r w:rsidRPr="006428B4">
              <w:t xml:space="preserve">Az intézmények folyamatosan kísérjék </w:t>
            </w:r>
            <w:proofErr w:type="gramStart"/>
            <w:r w:rsidRPr="006428B4">
              <w:t>figyelemmel  és</w:t>
            </w:r>
            <w:proofErr w:type="gramEnd"/>
            <w:r w:rsidRPr="006428B4">
              <w:t xml:space="preserve">  rendszeres 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      </w:r>
          </w:p>
        </w:tc>
      </w:tr>
      <w:tr w:rsidR="006428B4" w:rsidRPr="006428B4" w14:paraId="7DF76939" w14:textId="77777777" w:rsidTr="003322C5">
        <w:trPr>
          <w:trHeight w:val="825"/>
        </w:trPr>
        <w:tc>
          <w:tcPr>
            <w:tcW w:w="1556" w:type="dxa"/>
          </w:tcPr>
          <w:p w14:paraId="586F7190" w14:textId="77777777" w:rsidR="006428B4" w:rsidRPr="006428B4" w:rsidRDefault="006428B4" w:rsidP="006428B4">
            <w:pPr>
              <w:rPr>
                <w:b/>
              </w:rPr>
            </w:pPr>
            <w:r w:rsidRPr="006428B4">
              <w:rPr>
                <w:b/>
              </w:rPr>
              <w:t>ESG1.10</w:t>
            </w:r>
          </w:p>
        </w:tc>
        <w:tc>
          <w:tcPr>
            <w:tcW w:w="2977" w:type="dxa"/>
          </w:tcPr>
          <w:p w14:paraId="466497ED" w14:textId="77777777" w:rsidR="006428B4" w:rsidRPr="006428B4" w:rsidRDefault="006428B4" w:rsidP="006428B4">
            <w:r w:rsidRPr="006428B4">
              <w:t>Rendszeres külső minőségbiztosítás</w:t>
            </w:r>
          </w:p>
        </w:tc>
        <w:tc>
          <w:tcPr>
            <w:tcW w:w="9781" w:type="dxa"/>
          </w:tcPr>
          <w:p w14:paraId="585CDF82" w14:textId="47C98103" w:rsidR="006428B4" w:rsidRPr="006428B4" w:rsidRDefault="006428B4" w:rsidP="006428B4">
            <w:r w:rsidRPr="006428B4">
              <w:t>Az</w:t>
            </w:r>
            <w:r w:rsidRPr="006428B4">
              <w:tab/>
              <w:t>intézményeket</w:t>
            </w:r>
            <w:r w:rsidRPr="006428B4">
              <w:tab/>
              <w:t>rendszeres</w:t>
            </w:r>
            <w:r w:rsidRPr="006428B4">
              <w:tab/>
              <w:t>időközönként</w:t>
            </w:r>
            <w:r w:rsidRPr="006428B4">
              <w:tab/>
              <w:t>külső</w:t>
            </w:r>
            <w:r w:rsidRPr="006428B4">
              <w:tab/>
              <w:t>minőségbiztosítás</w:t>
            </w:r>
            <w:r w:rsidRPr="006428B4">
              <w:tab/>
              <w:t>alá</w:t>
            </w:r>
            <w:r w:rsidRPr="006428B4">
              <w:tab/>
              <w:t>kell</w:t>
            </w:r>
            <w:r>
              <w:t xml:space="preserve"> </w:t>
            </w:r>
            <w:r w:rsidRPr="006428B4">
              <w:t>vetni</w:t>
            </w:r>
            <w:r w:rsidRPr="006428B4">
              <w:tab/>
              <w:t>az</w:t>
            </w:r>
            <w:r>
              <w:t xml:space="preserve"> </w:t>
            </w:r>
            <w:r w:rsidRPr="006428B4">
              <w:t>ESG szerint.</w:t>
            </w:r>
          </w:p>
        </w:tc>
      </w:tr>
    </w:tbl>
    <w:p w14:paraId="178C983C" w14:textId="77777777" w:rsidR="006428B4" w:rsidRPr="006428B4" w:rsidRDefault="006428B4" w:rsidP="006428B4">
      <w:pPr>
        <w:sectPr w:rsidR="006428B4" w:rsidRPr="006428B4" w:rsidSect="00431DEF">
          <w:pgSz w:w="16840" w:h="11910" w:orient="landscape"/>
          <w:pgMar w:top="1280" w:right="1020" w:bottom="1200" w:left="1020" w:header="0" w:footer="1000" w:gutter="0"/>
          <w:cols w:space="708"/>
        </w:sectPr>
      </w:pPr>
    </w:p>
    <w:p w14:paraId="5ED661BD" w14:textId="77777777" w:rsidR="006428B4" w:rsidRDefault="006428B4"/>
    <w:p w14:paraId="1E0BC7DF" w14:textId="77777777" w:rsidR="006C4F39" w:rsidRDefault="006C4F39"/>
    <w:p w14:paraId="16D743C2" w14:textId="5604D209" w:rsidR="006C4F39" w:rsidRDefault="006C4F39" w:rsidP="006C4F39">
      <w:pPr>
        <w:spacing w:line="360" w:lineRule="auto"/>
        <w:rPr>
          <w:i/>
        </w:rPr>
      </w:pPr>
      <w:r w:rsidRPr="004C0BB9">
        <w:rPr>
          <w:i/>
        </w:rPr>
        <w:t xml:space="preserve">Nyíregyháza, </w:t>
      </w:r>
      <w:r>
        <w:rPr>
          <w:i/>
        </w:rPr>
        <w:t xml:space="preserve">2025. </w:t>
      </w:r>
      <w:r w:rsidR="00636411">
        <w:rPr>
          <w:i/>
        </w:rPr>
        <w:t>február</w:t>
      </w:r>
      <w:r>
        <w:rPr>
          <w:i/>
        </w:rPr>
        <w:t xml:space="preserve"> </w:t>
      </w:r>
      <w:r w:rsidR="00636411">
        <w:rPr>
          <w:i/>
        </w:rPr>
        <w:t>28</w:t>
      </w:r>
      <w:r>
        <w:rPr>
          <w:i/>
        </w:rPr>
        <w:t>.</w:t>
      </w:r>
    </w:p>
    <w:p w14:paraId="5B4F37ED" w14:textId="77777777" w:rsidR="006C4F39" w:rsidRDefault="006C4F39" w:rsidP="006C4F39">
      <w:pPr>
        <w:spacing w:line="36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C4F39" w14:paraId="5D6805D0" w14:textId="77777777" w:rsidTr="008C7D48">
        <w:tc>
          <w:tcPr>
            <w:tcW w:w="5059" w:type="dxa"/>
          </w:tcPr>
          <w:p w14:paraId="09215FC2" w14:textId="77777777" w:rsidR="006C4F39" w:rsidRDefault="006C4F39" w:rsidP="008C7D48">
            <w:pPr>
              <w:spacing w:line="360" w:lineRule="auto"/>
              <w:jc w:val="center"/>
            </w:pPr>
            <w:r>
              <w:t>………………………………………….</w:t>
            </w:r>
          </w:p>
          <w:p w14:paraId="60635517" w14:textId="77777777" w:rsidR="006C4F39" w:rsidRDefault="006C4F39" w:rsidP="008C7D48">
            <w:pPr>
              <w:spacing w:line="360" w:lineRule="auto"/>
              <w:jc w:val="center"/>
            </w:pPr>
            <w:r>
              <w:t>Miszkuly Katalin</w:t>
            </w:r>
          </w:p>
          <w:p w14:paraId="5DC4355C" w14:textId="77777777" w:rsidR="006C4F39" w:rsidRDefault="006C4F39" w:rsidP="008C7D48">
            <w:pPr>
              <w:spacing w:line="360" w:lineRule="auto"/>
              <w:jc w:val="center"/>
            </w:pPr>
            <w:r>
              <w:t>minőségirányítási felelős</w:t>
            </w:r>
          </w:p>
        </w:tc>
        <w:tc>
          <w:tcPr>
            <w:tcW w:w="5059" w:type="dxa"/>
          </w:tcPr>
          <w:p w14:paraId="4B3FFABD" w14:textId="77777777" w:rsidR="006C4F39" w:rsidRDefault="006C4F39" w:rsidP="008C7D48">
            <w:pPr>
              <w:spacing w:line="360" w:lineRule="auto"/>
              <w:jc w:val="center"/>
            </w:pPr>
            <w:r>
              <w:t>………………………………………….</w:t>
            </w:r>
          </w:p>
          <w:p w14:paraId="70830936" w14:textId="77777777" w:rsidR="006C4F39" w:rsidRDefault="006C4F39" w:rsidP="008C7D48">
            <w:pPr>
              <w:spacing w:line="360" w:lineRule="auto"/>
              <w:jc w:val="center"/>
            </w:pPr>
            <w:r>
              <w:t>Béres Tamás</w:t>
            </w:r>
          </w:p>
          <w:p w14:paraId="6E0553AD" w14:textId="77777777" w:rsidR="006C4F39" w:rsidRDefault="006C4F39" w:rsidP="008C7D48">
            <w:pPr>
              <w:spacing w:line="360" w:lineRule="auto"/>
              <w:jc w:val="center"/>
            </w:pPr>
            <w:r>
              <w:t>irodavezető</w:t>
            </w:r>
          </w:p>
        </w:tc>
      </w:tr>
    </w:tbl>
    <w:p w14:paraId="7AB3E10A" w14:textId="77777777" w:rsidR="006C4F39" w:rsidRPr="00594D29" w:rsidRDefault="006C4F39" w:rsidP="006C4F39">
      <w:pPr>
        <w:tabs>
          <w:tab w:val="left" w:pos="3555"/>
        </w:tabs>
      </w:pPr>
    </w:p>
    <w:p w14:paraId="16A6C4C4" w14:textId="77777777" w:rsidR="006C4F39" w:rsidRDefault="006C4F39"/>
    <w:sectPr w:rsidR="006C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30C3" w14:textId="77777777" w:rsidR="00CD7DA2" w:rsidRDefault="00CD7DA2" w:rsidP="006428B4">
      <w:pPr>
        <w:spacing w:after="0" w:line="240" w:lineRule="auto"/>
      </w:pPr>
      <w:r>
        <w:separator/>
      </w:r>
    </w:p>
  </w:endnote>
  <w:endnote w:type="continuationSeparator" w:id="0">
    <w:p w14:paraId="31070C34" w14:textId="77777777" w:rsidR="00CD7DA2" w:rsidRDefault="00CD7DA2" w:rsidP="0064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1CF7" w14:textId="77777777" w:rsidR="00BC5DDF" w:rsidRDefault="00232E29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8E2CA5" wp14:editId="32539819">
              <wp:simplePos x="0" y="0"/>
              <wp:positionH relativeFrom="page">
                <wp:posOffset>5237098</wp:posOffset>
              </wp:positionH>
              <wp:positionV relativeFrom="page">
                <wp:posOffset>6785557</wp:posOffset>
              </wp:positionV>
              <wp:extent cx="23177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8F843" w14:textId="2CDE9AF0" w:rsidR="00BC5DDF" w:rsidRDefault="00BC5DDF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E2C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2.35pt;margin-top:534.3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" filled="f" stroked="f">
              <v:path arrowok="t"/>
              <v:textbox inset="0,0,0,0">
                <w:txbxContent>
                  <w:p w14:paraId="07B8F843" w14:textId="2CDE9AF0" w:rsidR="00BC5DDF" w:rsidRDefault="00BC5DDF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EC21" w14:textId="77777777" w:rsidR="00CD7DA2" w:rsidRDefault="00CD7DA2" w:rsidP="006428B4">
      <w:pPr>
        <w:spacing w:after="0" w:line="240" w:lineRule="auto"/>
      </w:pPr>
      <w:r>
        <w:separator/>
      </w:r>
    </w:p>
  </w:footnote>
  <w:footnote w:type="continuationSeparator" w:id="0">
    <w:p w14:paraId="541A764F" w14:textId="77777777" w:rsidR="00CD7DA2" w:rsidRDefault="00CD7DA2" w:rsidP="0064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423D"/>
    <w:multiLevelType w:val="hybridMultilevel"/>
    <w:tmpl w:val="05C25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369CA"/>
    <w:multiLevelType w:val="hybridMultilevel"/>
    <w:tmpl w:val="6C1E2824"/>
    <w:lvl w:ilvl="0" w:tplc="44608014">
      <w:start w:val="5"/>
      <w:numFmt w:val="decimal"/>
      <w:lvlText w:val="%1."/>
      <w:lvlJc w:val="left"/>
      <w:pPr>
        <w:ind w:left="19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7"/>
        <w:szCs w:val="17"/>
        <w:lang w:val="hu-HU" w:eastAsia="en-US" w:bidi="ar-SA"/>
      </w:rPr>
    </w:lvl>
    <w:lvl w:ilvl="1" w:tplc="EBC45666">
      <w:numFmt w:val="bullet"/>
      <w:lvlText w:val="-"/>
      <w:lvlJc w:val="left"/>
      <w:pPr>
        <w:ind w:left="13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7"/>
        <w:szCs w:val="17"/>
        <w:lang w:val="hu-HU" w:eastAsia="en-US" w:bidi="ar-SA"/>
      </w:rPr>
    </w:lvl>
    <w:lvl w:ilvl="2" w:tplc="0DC47A96">
      <w:numFmt w:val="bullet"/>
      <w:lvlText w:val="•"/>
      <w:lvlJc w:val="left"/>
      <w:pPr>
        <w:ind w:left="854" w:hanging="106"/>
      </w:pPr>
      <w:rPr>
        <w:rFonts w:hint="default"/>
        <w:lang w:val="hu-HU" w:eastAsia="en-US" w:bidi="ar-SA"/>
      </w:rPr>
    </w:lvl>
    <w:lvl w:ilvl="3" w:tplc="661807A2">
      <w:numFmt w:val="bullet"/>
      <w:lvlText w:val="•"/>
      <w:lvlJc w:val="left"/>
      <w:pPr>
        <w:ind w:left="1508" w:hanging="106"/>
      </w:pPr>
      <w:rPr>
        <w:rFonts w:hint="default"/>
        <w:lang w:val="hu-HU" w:eastAsia="en-US" w:bidi="ar-SA"/>
      </w:rPr>
    </w:lvl>
    <w:lvl w:ilvl="4" w:tplc="37C62680">
      <w:numFmt w:val="bullet"/>
      <w:lvlText w:val="•"/>
      <w:lvlJc w:val="left"/>
      <w:pPr>
        <w:ind w:left="2163" w:hanging="106"/>
      </w:pPr>
      <w:rPr>
        <w:rFonts w:hint="default"/>
        <w:lang w:val="hu-HU" w:eastAsia="en-US" w:bidi="ar-SA"/>
      </w:rPr>
    </w:lvl>
    <w:lvl w:ilvl="5" w:tplc="8A44D5F6">
      <w:numFmt w:val="bullet"/>
      <w:lvlText w:val="•"/>
      <w:lvlJc w:val="left"/>
      <w:pPr>
        <w:ind w:left="2817" w:hanging="106"/>
      </w:pPr>
      <w:rPr>
        <w:rFonts w:hint="default"/>
        <w:lang w:val="hu-HU" w:eastAsia="en-US" w:bidi="ar-SA"/>
      </w:rPr>
    </w:lvl>
    <w:lvl w:ilvl="6" w:tplc="D31C568C">
      <w:numFmt w:val="bullet"/>
      <w:lvlText w:val="•"/>
      <w:lvlJc w:val="left"/>
      <w:pPr>
        <w:ind w:left="3472" w:hanging="106"/>
      </w:pPr>
      <w:rPr>
        <w:rFonts w:hint="default"/>
        <w:lang w:val="hu-HU" w:eastAsia="en-US" w:bidi="ar-SA"/>
      </w:rPr>
    </w:lvl>
    <w:lvl w:ilvl="7" w:tplc="AC861166">
      <w:numFmt w:val="bullet"/>
      <w:lvlText w:val="•"/>
      <w:lvlJc w:val="left"/>
      <w:pPr>
        <w:ind w:left="4126" w:hanging="106"/>
      </w:pPr>
      <w:rPr>
        <w:rFonts w:hint="default"/>
        <w:lang w:val="hu-HU" w:eastAsia="en-US" w:bidi="ar-SA"/>
      </w:rPr>
    </w:lvl>
    <w:lvl w:ilvl="8" w:tplc="E3189DB6">
      <w:numFmt w:val="bullet"/>
      <w:lvlText w:val="•"/>
      <w:lvlJc w:val="left"/>
      <w:pPr>
        <w:ind w:left="4781" w:hanging="106"/>
      </w:pPr>
      <w:rPr>
        <w:rFonts w:hint="default"/>
        <w:lang w:val="hu-HU" w:eastAsia="en-US" w:bidi="ar-SA"/>
      </w:rPr>
    </w:lvl>
  </w:abstractNum>
  <w:abstractNum w:abstractNumId="2" w15:restartNumberingAfterBreak="0">
    <w:nsid w:val="539411B9"/>
    <w:multiLevelType w:val="hybridMultilevel"/>
    <w:tmpl w:val="5588C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C6E25"/>
    <w:multiLevelType w:val="hybridMultilevel"/>
    <w:tmpl w:val="2698FCAC"/>
    <w:lvl w:ilvl="0" w:tplc="726AED1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4C"/>
    <w:rsid w:val="0001307D"/>
    <w:rsid w:val="00036A94"/>
    <w:rsid w:val="0009650B"/>
    <w:rsid w:val="000C0545"/>
    <w:rsid w:val="000E0F19"/>
    <w:rsid w:val="0010437F"/>
    <w:rsid w:val="00105E99"/>
    <w:rsid w:val="0011303C"/>
    <w:rsid w:val="00120970"/>
    <w:rsid w:val="00143938"/>
    <w:rsid w:val="00175F76"/>
    <w:rsid w:val="001E1438"/>
    <w:rsid w:val="001F45A6"/>
    <w:rsid w:val="00201BF5"/>
    <w:rsid w:val="00220A9A"/>
    <w:rsid w:val="00232E29"/>
    <w:rsid w:val="0023708B"/>
    <w:rsid w:val="00256BCA"/>
    <w:rsid w:val="00294083"/>
    <w:rsid w:val="002B5ABD"/>
    <w:rsid w:val="002D72A8"/>
    <w:rsid w:val="002E1B28"/>
    <w:rsid w:val="002F4C4C"/>
    <w:rsid w:val="00327754"/>
    <w:rsid w:val="00363F3C"/>
    <w:rsid w:val="003823BB"/>
    <w:rsid w:val="00397643"/>
    <w:rsid w:val="003C4293"/>
    <w:rsid w:val="003D3241"/>
    <w:rsid w:val="003E140F"/>
    <w:rsid w:val="003E2A04"/>
    <w:rsid w:val="00431DEF"/>
    <w:rsid w:val="004321FF"/>
    <w:rsid w:val="004526CB"/>
    <w:rsid w:val="00470F17"/>
    <w:rsid w:val="004A4930"/>
    <w:rsid w:val="004D3AD5"/>
    <w:rsid w:val="004D5C06"/>
    <w:rsid w:val="004E3CCB"/>
    <w:rsid w:val="005078E0"/>
    <w:rsid w:val="00512B24"/>
    <w:rsid w:val="00546239"/>
    <w:rsid w:val="005463E2"/>
    <w:rsid w:val="005673AE"/>
    <w:rsid w:val="005A7C99"/>
    <w:rsid w:val="00614E4E"/>
    <w:rsid w:val="006255D8"/>
    <w:rsid w:val="00636411"/>
    <w:rsid w:val="00640206"/>
    <w:rsid w:val="006428B4"/>
    <w:rsid w:val="00663514"/>
    <w:rsid w:val="00686057"/>
    <w:rsid w:val="006A20E7"/>
    <w:rsid w:val="006C0335"/>
    <w:rsid w:val="006C4F39"/>
    <w:rsid w:val="007038E4"/>
    <w:rsid w:val="00707F5C"/>
    <w:rsid w:val="0072590E"/>
    <w:rsid w:val="007773E4"/>
    <w:rsid w:val="007A49E4"/>
    <w:rsid w:val="007B5A5D"/>
    <w:rsid w:val="007C1346"/>
    <w:rsid w:val="0085222A"/>
    <w:rsid w:val="00866B2C"/>
    <w:rsid w:val="00873694"/>
    <w:rsid w:val="00893FD7"/>
    <w:rsid w:val="008E29FB"/>
    <w:rsid w:val="008F7890"/>
    <w:rsid w:val="009443C8"/>
    <w:rsid w:val="009549FD"/>
    <w:rsid w:val="00956F37"/>
    <w:rsid w:val="009606E5"/>
    <w:rsid w:val="00960BA0"/>
    <w:rsid w:val="00980E73"/>
    <w:rsid w:val="009872A0"/>
    <w:rsid w:val="009A3D18"/>
    <w:rsid w:val="009E4959"/>
    <w:rsid w:val="009F7156"/>
    <w:rsid w:val="00A0460D"/>
    <w:rsid w:val="00A65AC7"/>
    <w:rsid w:val="00AC783A"/>
    <w:rsid w:val="00AD4D87"/>
    <w:rsid w:val="00B0499A"/>
    <w:rsid w:val="00B30AFA"/>
    <w:rsid w:val="00B50006"/>
    <w:rsid w:val="00B60283"/>
    <w:rsid w:val="00B666AD"/>
    <w:rsid w:val="00B73E5F"/>
    <w:rsid w:val="00B84581"/>
    <w:rsid w:val="00BC003F"/>
    <w:rsid w:val="00BC5DDF"/>
    <w:rsid w:val="00BC71C3"/>
    <w:rsid w:val="00BD664B"/>
    <w:rsid w:val="00BE1F59"/>
    <w:rsid w:val="00BF7748"/>
    <w:rsid w:val="00C2300E"/>
    <w:rsid w:val="00C35115"/>
    <w:rsid w:val="00C86B44"/>
    <w:rsid w:val="00CA322E"/>
    <w:rsid w:val="00CA5BE2"/>
    <w:rsid w:val="00CB7481"/>
    <w:rsid w:val="00CD7DA2"/>
    <w:rsid w:val="00CF352E"/>
    <w:rsid w:val="00D0313A"/>
    <w:rsid w:val="00D44769"/>
    <w:rsid w:val="00D47F24"/>
    <w:rsid w:val="00DC3813"/>
    <w:rsid w:val="00DF5ACA"/>
    <w:rsid w:val="00E100B3"/>
    <w:rsid w:val="00E52952"/>
    <w:rsid w:val="00E55D05"/>
    <w:rsid w:val="00E611AB"/>
    <w:rsid w:val="00E66611"/>
    <w:rsid w:val="00E92328"/>
    <w:rsid w:val="00EC2179"/>
    <w:rsid w:val="00EF3498"/>
    <w:rsid w:val="00F03D25"/>
    <w:rsid w:val="00F94BA2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44BF0"/>
  <w15:chartTrackingRefBased/>
  <w15:docId w15:val="{9B4E9612-AE95-4FF0-92E0-DED9E59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4C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4C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4C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4C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4C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4C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4C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4C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4C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4C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4C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2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zvegtrzs">
    <w:name w:val="Body Text"/>
    <w:basedOn w:val="Norml"/>
    <w:link w:val="SzvegtrzsChar"/>
    <w:uiPriority w:val="99"/>
    <w:semiHidden/>
    <w:unhideWhenUsed/>
    <w:rsid w:val="006428B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428B4"/>
  </w:style>
  <w:style w:type="paragraph" w:styleId="lfej">
    <w:name w:val="header"/>
    <w:basedOn w:val="Norml"/>
    <w:link w:val="lfejChar"/>
    <w:uiPriority w:val="99"/>
    <w:unhideWhenUsed/>
    <w:rsid w:val="0064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8B4"/>
  </w:style>
  <w:style w:type="paragraph" w:styleId="llb">
    <w:name w:val="footer"/>
    <w:basedOn w:val="Norml"/>
    <w:link w:val="llbChar"/>
    <w:uiPriority w:val="99"/>
    <w:unhideWhenUsed/>
    <w:rsid w:val="0064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8B4"/>
  </w:style>
  <w:style w:type="table" w:styleId="Rcsostblzat">
    <w:name w:val="Table Grid"/>
    <w:basedOn w:val="Normltblzat"/>
    <w:uiPriority w:val="59"/>
    <w:rsid w:val="006C4F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1060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Moravecz Marianna</dc:creator>
  <cp:keywords/>
  <dc:description/>
  <cp:lastModifiedBy>Miszkuly Katalin</cp:lastModifiedBy>
  <cp:revision>2</cp:revision>
  <cp:lastPrinted>2025-03-17T08:58:00Z</cp:lastPrinted>
  <dcterms:created xsi:type="dcterms:W3CDTF">2025-05-07T09:48:00Z</dcterms:created>
  <dcterms:modified xsi:type="dcterms:W3CDTF">2025-05-07T09:48:00Z</dcterms:modified>
</cp:coreProperties>
</file>